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708" w:leader="none"/>
          <w:tab w:val="center" w:pos="4819" w:leader="none"/>
          <w:tab w:val="right" w:pos="9638" w:leader="none"/>
        </w:tabs>
        <w:rPr>
          <w:rFonts w:ascii="Tahoma" w:hAnsi="Tahoma" w:cs="Tahoma" w:eastAsia="Times New Roman"/>
          <w:lang w:eastAsia="it-IT"/>
        </w:rPr>
      </w:pPr>
      <w:r>
        <w:rPr>
          <w:rFonts w:ascii="Tahoma" w:hAnsi="Tahoma" w:cs="Tahoma" w:eastAsia="Times New Roman"/>
          <w:b/>
          <w:lang w:eastAsia="it-IT"/>
        </w:rPr>
      </w:r>
      <w:r>
        <w:rPr>
          <w:rFonts w:ascii="Tahoma" w:hAnsi="Tahoma" w:cs="Tahoma" w:eastAsia="Times New Roman"/>
          <w:lang w:eastAsia="it-IT"/>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PROPOSTA DI DELIBERAZIONE</w:t>
      </w:r>
      <w:r>
        <w:rPr>
          <w:rFonts w:ascii="Arial" w:hAnsi="Arial" w:cs="Arial" w:eastAsia="Arial"/>
          <w:sz w:val="24"/>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b/>
          <w:sz w:val="24"/>
          <w:lang w:eastAsia="it-IT"/>
        </w:rPr>
        <w:t xml:space="preserve">DEL CONSIGLIO COMUNALE</w:t>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sz w:val="24"/>
          <w:highlight w:val="none"/>
        </w:rPr>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highlight w:val="none"/>
          <w:lang w:eastAsia="it-IT"/>
        </w:rPr>
        <w:t xml:space="preserve">n. </w:t>
      </w:r>
      <w:r>
        <w:rPr>
          <w:rFonts w:ascii="Arial" w:hAnsi="Arial" w:cs="Arial" w:eastAsia="Arial"/>
          <w:b/>
          <w:sz w:val="24"/>
          <w:lang w:eastAsia="it-IT"/>
        </w:rPr>
        <w:t xml:space="preserve">534 del </w:t>
      </w:r>
      <w:r>
        <w:rPr>
          <w:rFonts w:ascii="Arial" w:hAnsi="Arial" w:cs="Arial" w:eastAsia="Arial"/>
          <w:b/>
          <w:sz w:val="24"/>
          <w:lang w:eastAsia="it-IT"/>
        </w:rPr>
        <w:t xml:space="preserve">12/05/2026</w:t>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OGGETTO:</w:t>
      </w:r>
      <w:r>
        <w:rPr>
          <w:rFonts w:ascii="Arial" w:hAnsi="Arial" w:cs="Arial" w:eastAsia="Arial"/>
          <w:sz w:val="24"/>
        </w:rPr>
      </w:r>
      <w:r/>
    </w:p>
    <w:p>
      <w:pPr>
        <w:rPr>
          <w:rFonts w:ascii="Arial" w:hAnsi="Arial" w:cs="Arial" w:eastAsia="Arial"/>
        </w:rPr>
      </w:pPr>
      <w:r>
        <w:rPr>
          <w:rFonts w:ascii="Arial" w:hAnsi="Arial" w:cs="Arial" w:eastAsia="Arial"/>
          <w:b/>
          <w:sz w:val="24"/>
          <w:lang w:eastAsia="it-IT"/>
        </w:rPr>
        <w:t xml:space="preserve">RIC</w:t>
      </w:r>
      <w:r>
        <w:rPr>
          <w:rFonts w:ascii="Arial" w:hAnsi="Arial" w:cs="Arial" w:eastAsia="Arial"/>
          <w:b/>
          <w:sz w:val="24"/>
          <w:lang w:eastAsia="it-IT"/>
        </w:rPr>
        <w:t xml:space="preserve">ONOSCIMENTO LEGITTIMITA' DEL DEBITO FUORI BILANCIO AI SENSI E PER GLI EFFETTI DELL'ART. 194 - COMMA 1 - LETT. E) DEL D.LGS. 18/08/2000 N. 267 AI FINI DEL PAGAMENTO DELLA  SOMMA DI CUI AI MAGGIORI INTROITI PER VENDITA ENERGIA ELETTRICA NEI CONFRONTI DEL GSE</w:t>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Bdr>
          <w:bottom w:val="single" w:color="000000" w:sz="6" w:space="0"/>
        </w:pBdr>
      </w:pPr>
      <w:r>
        <w:rPr>
          <w:rFonts w:ascii="Arial" w:hAnsi="Arial" w:cs="Arial" w:eastAsia="Arial"/>
          <w:sz w:val="2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lang w:eastAsia="it-IT"/>
        </w:rPr>
      </w:r>
      <w:r>
        <w:rPr>
          <w:rFonts w:ascii="Arial" w:hAnsi="Arial" w:cs="Arial" w:eastAsia="Arial"/>
          <w:sz w:val="24"/>
        </w:rPr>
      </w:r>
      <w:r/>
    </w:p>
    <w:p>
      <w:pPr>
        <w:pStyle w:val="766"/>
      </w:pPr>
      <w:r/>
      <w:r/>
    </w:p>
    <w:p>
      <w:pPr>
        <w:jc w:val="center"/>
        <w:rPr>
          <w:rFonts w:ascii="Arial" w:hAnsi="Arial" w:cs="Arial" w:eastAsia="Arial"/>
          <w:b/>
          <w:sz w:val="24"/>
          <w:highlight w:val="none"/>
        </w:rPr>
      </w:pPr>
      <w:r>
        <w:rPr>
          <w:rFonts w:ascii="Arial" w:hAnsi="Arial" w:cs="Arial" w:eastAsia="Arial"/>
          <w:b/>
          <w:sz w:val="24"/>
          <w:highlight w:val="none"/>
        </w:rPr>
      </w:r>
      <w:r>
        <w:rPr>
          <w:rFonts w:ascii="Arial" w:hAnsi="Arial" w:cs="Arial" w:eastAsia="Arial"/>
          <w:b/>
          <w:sz w:val="24"/>
          <w:highlight w:val="none"/>
        </w:rPr>
      </w:r>
      <w:r/>
    </w:p>
    <w:p>
      <w:pPr>
        <w:pStyle w:val="752"/>
        <w:jc w:val="center"/>
        <w:spacing w:line="240" w:lineRule="auto"/>
        <w:rPr>
          <w:rFonts w:ascii="Arial" w:hAnsi="Arial" w:cs="Arial" w:eastAsia="Arial"/>
          <w:b/>
          <w:bCs/>
          <w:sz w:val="24"/>
          <w:szCs w:val="24"/>
          <w:highlight w:val="none"/>
        </w:rPr>
      </w:pPr>
      <w:r>
        <w:rPr>
          <w:rFonts w:ascii="Arial" w:hAnsi="Arial" w:cs="Arial" w:eastAsia="Arial"/>
          <w:b/>
          <w:sz w:val="24"/>
        </w:rPr>
        <w:t xml:space="preserve">IL CONSIGLIO COMUNALE</w:t>
      </w:r>
      <w:r>
        <w:rPr>
          <w:rFonts w:ascii="Arial" w:hAnsi="Arial" w:cs="Arial" w:eastAsia="Arial"/>
          <w:b/>
          <w:bCs/>
          <w:sz w:val="24"/>
          <w:szCs w:val="24"/>
          <w:highlight w:val="none"/>
        </w:rPr>
      </w:r>
      <w:r/>
    </w:p>
    <w:p>
      <w:pPr>
        <w:jc w:val="left"/>
        <w:spacing w:line="240" w:lineRule="auto"/>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ind w:left="0" w:right="-1" w:firstLine="0"/>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PREMESSO CHE </w:t>
      </w:r>
      <w:r/>
    </w:p>
    <w:p>
      <w:pPr>
        <w:numPr>
          <w:ilvl w:val="0"/>
          <w:numId w:val="1"/>
        </w:num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L’art. 15 – </w:t>
      </w:r>
      <w:r>
        <w:rPr>
          <w:rFonts w:ascii="Times New Roman" w:hAnsi="Times New Roman" w:cs="Times New Roman" w:eastAsia="Times New Roman"/>
          <w:i/>
          <w:color w:val="000000"/>
          <w:sz w:val="24"/>
        </w:rPr>
        <w:t xml:space="preserve">bis </w:t>
      </w:r>
      <w:r>
        <w:rPr>
          <w:rFonts w:ascii="Times New Roman" w:hAnsi="Times New Roman" w:cs="Times New Roman" w:eastAsia="Times New Roman"/>
          <w:color w:val="000000"/>
          <w:sz w:val="24"/>
        </w:rPr>
        <w:t xml:space="preserve">del D.L. 4/2022 (di seguito il “</w:t>
      </w:r>
      <w:r>
        <w:rPr>
          <w:rFonts w:ascii="Times New Roman" w:hAnsi="Times New Roman" w:cs="Times New Roman" w:eastAsia="Times New Roman"/>
          <w:b/>
          <w:color w:val="000000"/>
          <w:sz w:val="24"/>
        </w:rPr>
        <w:t xml:space="preserve">Decreto Sostegni </w:t>
      </w:r>
      <w:r>
        <w:rPr>
          <w:rFonts w:ascii="Times New Roman" w:hAnsi="Times New Roman" w:cs="Times New Roman" w:eastAsia="Times New Roman"/>
          <w:b/>
          <w:i/>
          <w:color w:val="000000"/>
          <w:sz w:val="24"/>
        </w:rPr>
        <w:t xml:space="preserve">ter</w:t>
      </w:r>
      <w:r>
        <w:rPr>
          <w:rFonts w:ascii="Times New Roman" w:hAnsi="Times New Roman" w:cs="Times New Roman" w:eastAsia="Times New Roman"/>
          <w:color w:val="000000"/>
          <w:sz w:val="24"/>
        </w:rPr>
        <w:t xml:space="preserve">”) ha, come noto, introdotto nel nostro ordinamento un meccanismo di </w:t>
      </w:r>
      <w:r>
        <w:rPr>
          <w:rFonts w:ascii="Times New Roman" w:hAnsi="Times New Roman" w:cs="Times New Roman" w:eastAsia="Times New Roman"/>
          <w:color w:val="000000"/>
          <w:sz w:val="24"/>
          <w:u w:val="none"/>
        </w:rPr>
        <w:t xml:space="preserve">“</w:t>
      </w:r>
      <w:r>
        <w:rPr>
          <w:rFonts w:ascii="Times New Roman" w:hAnsi="Times New Roman" w:cs="Times New Roman" w:eastAsia="Times New Roman"/>
          <w:i/>
          <w:color w:val="000000"/>
          <w:sz w:val="24"/>
        </w:rPr>
        <w:t xml:space="preserve">compensazione a due vie sul prezzo dell’energia</w:t>
      </w:r>
      <w:r>
        <w:rPr>
          <w:rFonts w:ascii="Times New Roman" w:hAnsi="Times New Roman" w:cs="Times New Roman" w:eastAsia="Times New Roman"/>
          <w:color w:val="000000"/>
          <w:sz w:val="24"/>
          <w:u w:val="none"/>
        </w:rPr>
        <w:t xml:space="preserve">” in riferimento all’energia elettrica immessa in rete da impianti fotovoltaici </w:t>
      </w:r>
      <w:r>
        <w:rPr>
          <w:rFonts w:ascii="Times New Roman" w:hAnsi="Times New Roman" w:cs="Times New Roman" w:eastAsia="Times New Roman"/>
          <w:color w:val="000000"/>
          <w:sz w:val="24"/>
        </w:rPr>
        <w:t xml:space="preserve">dal 1° febbraio 2022 al 31 dicembre 2022 (</w:t>
      </w:r>
      <w:r>
        <w:rPr>
          <w:rFonts w:ascii="Times New Roman" w:hAnsi="Times New Roman" w:cs="Times New Roman" w:eastAsia="Times New Roman"/>
          <w:b/>
          <w:color w:val="000000"/>
          <w:sz w:val="24"/>
          <w:u w:val="single"/>
        </w:rPr>
        <w:t xml:space="preserve">periodo poi ulteriormente prorogato sino al 30 giugno 2023 a cura dell’art. 11, comma 1 del D.L. 115/2022</w:t>
      </w:r>
      <w:r>
        <w:rPr>
          <w:rFonts w:ascii="Times New Roman" w:hAnsi="Times New Roman" w:cs="Times New Roman" w:eastAsia="Times New Roman"/>
          <w:color w:val="000000"/>
          <w:sz w:val="24"/>
        </w:rPr>
        <w:t xml:space="preserve">, di seguito il “</w:t>
      </w:r>
      <w:r>
        <w:rPr>
          <w:rFonts w:ascii="Times New Roman" w:hAnsi="Times New Roman" w:cs="Times New Roman" w:eastAsia="Times New Roman"/>
          <w:b/>
          <w:color w:val="000000"/>
          <w:sz w:val="24"/>
        </w:rPr>
        <w:t xml:space="preserve">Decreto Aiuti </w:t>
      </w:r>
      <w:r>
        <w:rPr>
          <w:rFonts w:ascii="Times New Roman" w:hAnsi="Times New Roman" w:cs="Times New Roman" w:eastAsia="Times New Roman"/>
          <w:b/>
          <w:i/>
          <w:color w:val="000000"/>
          <w:sz w:val="24"/>
        </w:rPr>
        <w:t xml:space="preserve">bis</w:t>
      </w:r>
      <w:r>
        <w:rPr>
          <w:rFonts w:ascii="Times New Roman" w:hAnsi="Times New Roman" w:cs="Times New Roman" w:eastAsia="Times New Roman"/>
          <w:color w:val="000000"/>
          <w:sz w:val="24"/>
        </w:rPr>
        <w:t xml:space="preserve">”).</w:t>
      </w:r>
      <w:r/>
    </w:p>
    <w:p>
      <w:pPr>
        <w:numPr>
          <w:ilvl w:val="0"/>
          <w:numId w:val="1"/>
        </w:num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Nella specie l’art. 15 – </w:t>
      </w:r>
      <w:r>
        <w:rPr>
          <w:rFonts w:ascii="Times New Roman" w:hAnsi="Times New Roman" w:cs="Times New Roman" w:eastAsia="Times New Roman"/>
          <w:i/>
          <w:color w:val="000000"/>
          <w:sz w:val="24"/>
        </w:rPr>
        <w:t xml:space="preserve">bis</w:t>
      </w:r>
      <w:r>
        <w:rPr>
          <w:rFonts w:ascii="Times New Roman" w:hAnsi="Times New Roman" w:cs="Times New Roman" w:eastAsia="Times New Roman"/>
          <w:color w:val="000000"/>
          <w:sz w:val="24"/>
        </w:rPr>
        <w:t xml:space="preserve"> del Decreto Sostegni </w:t>
      </w:r>
      <w:r>
        <w:rPr>
          <w:rFonts w:ascii="Times New Roman" w:hAnsi="Times New Roman" w:cs="Times New Roman" w:eastAsia="Times New Roman"/>
          <w:i/>
          <w:color w:val="000000"/>
          <w:sz w:val="24"/>
        </w:rPr>
        <w:t xml:space="preserve">ter</w:t>
      </w:r>
      <w:r>
        <w:rPr>
          <w:rFonts w:ascii="Times New Roman" w:hAnsi="Times New Roman" w:cs="Times New Roman" w:eastAsia="Times New Roman"/>
          <w:color w:val="000000"/>
          <w:sz w:val="24"/>
        </w:rPr>
        <w:t xml:space="preserve"> stabilisce di imperio – a seconda della localizzazione geografica dell’impianto fotovoltaico – un prezzo di riferimento che rappresenterebbe l’“</w:t>
      </w:r>
      <w:r>
        <w:rPr>
          <w:rFonts w:ascii="Times New Roman" w:hAnsi="Times New Roman" w:cs="Times New Roman" w:eastAsia="Times New Roman"/>
          <w:i/>
          <w:color w:val="000000"/>
          <w:sz w:val="24"/>
        </w:rPr>
        <w:t xml:space="preserve">equa remunerazione del prezzo dell’energia</w:t>
      </w:r>
      <w:r>
        <w:rPr>
          <w:rFonts w:ascii="Times New Roman" w:hAnsi="Times New Roman" w:cs="Times New Roman" w:eastAsia="Times New Roman"/>
          <w:color w:val="000000"/>
          <w:sz w:val="24"/>
        </w:rPr>
        <w:t xml:space="preserve">” (il c.d. “prezzo equo” o “prezzo di riferimento”) calcolato sulla base della “</w:t>
      </w:r>
      <w:r>
        <w:rPr>
          <w:rFonts w:ascii="Times New Roman" w:hAnsi="Times New Roman" w:cs="Times New Roman" w:eastAsia="Times New Roman"/>
          <w:i/>
          <w:color w:val="000000"/>
          <w:sz w:val="24"/>
        </w:rPr>
        <w:t xml:space="preserve">media aritmetica dei prezzi orari in ciascuna zona di mercato registrati dal 1° gennaio 2010 al 31 dicembre 2020</w:t>
      </w:r>
      <w:r>
        <w:rPr>
          <w:rFonts w:ascii="Times New Roman" w:hAnsi="Times New Roman" w:cs="Times New Roman" w:eastAsia="Times New Roman"/>
          <w:color w:val="000000"/>
          <w:sz w:val="24"/>
        </w:rPr>
        <w:t xml:space="preserve">, </w:t>
      </w:r>
      <w:r>
        <w:rPr>
          <w:rFonts w:ascii="Times New Roman" w:hAnsi="Times New Roman" w:cs="Times New Roman" w:eastAsia="Times New Roman"/>
          <w:i/>
          <w:color w:val="000000"/>
          <w:sz w:val="24"/>
        </w:rPr>
        <w:t xml:space="preserve">rivalutati sulla base del tasso di variazione annuo dei prezzi al consumo delle famiglie di operai e impiegati rilevato dall’ISTAT (come si evince dal dossier dei Servizi studi di Camera e Senato relativo al decreto – legge 4/22), senza tenere conto di alt</w:t>
      </w:r>
      <w:r>
        <w:rPr>
          <w:rFonts w:ascii="Times New Roman" w:hAnsi="Times New Roman" w:cs="Times New Roman" w:eastAsia="Times New Roman"/>
          <w:i/>
          <w:color w:val="000000"/>
          <w:sz w:val="24"/>
        </w:rPr>
        <w:t xml:space="preserve">ri elementi quali i corrispettivi di sbilanciamento</w:t>
      </w:r>
      <w:r>
        <w:rPr>
          <w:rFonts w:ascii="Times New Roman" w:hAnsi="Times New Roman" w:cs="Times New Roman" w:eastAsia="Times New Roman"/>
          <w:color w:val="000000"/>
          <w:sz w:val="24"/>
        </w:rPr>
        <w:t xml:space="preserve"> (cfr. pag. 12 della Deliberazione ARERA).</w:t>
      </w:r>
      <w:r/>
    </w:p>
    <w:p>
      <w:pPr>
        <w:numPr>
          <w:ilvl w:val="0"/>
          <w:numId w:val="1"/>
        </w:num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 predetta norma stabilisce altresì che qualora il prezzo di mercato ecceda il c.d. prezzo equo, la differenza debba essere considerata a tutti gli effetti un “</w:t>
      </w:r>
      <w:r>
        <w:rPr>
          <w:rFonts w:ascii="Times New Roman" w:hAnsi="Times New Roman" w:cs="Times New Roman" w:eastAsia="Times New Roman"/>
          <w:i/>
          <w:color w:val="000000"/>
          <w:sz w:val="24"/>
        </w:rPr>
        <w:t xml:space="preserve">extra profitto</w:t>
      </w:r>
      <w:r>
        <w:rPr>
          <w:rFonts w:ascii="Times New Roman" w:hAnsi="Times New Roman" w:cs="Times New Roman" w:eastAsia="Times New Roman"/>
          <w:color w:val="000000"/>
          <w:sz w:val="24"/>
        </w:rPr>
        <w:t xml:space="preserve">” da corrispondere al GSE il quale ultimo ha l’onere di determinare tale “</w:t>
      </w:r>
      <w:r>
        <w:rPr>
          <w:rFonts w:ascii="Times New Roman" w:hAnsi="Times New Roman" w:cs="Times New Roman" w:eastAsia="Times New Roman"/>
          <w:i/>
          <w:color w:val="000000"/>
          <w:sz w:val="24"/>
        </w:rPr>
        <w:t xml:space="preserve">extra profitto</w:t>
      </w:r>
      <w:r>
        <w:rPr>
          <w:rFonts w:ascii="Times New Roman" w:hAnsi="Times New Roman" w:cs="Times New Roman" w:eastAsia="Times New Roman"/>
          <w:color w:val="000000"/>
          <w:sz w:val="24"/>
        </w:rPr>
        <w:t xml:space="preserve">” calcolando la differenza tra i valori di cui alle lettere a) e b) dell’art. 15-</w:t>
      </w:r>
      <w:r>
        <w:rPr>
          <w:rFonts w:ascii="Times New Roman" w:hAnsi="Times New Roman" w:cs="Times New Roman" w:eastAsia="Times New Roman"/>
          <w:i/>
          <w:color w:val="000000"/>
          <w:sz w:val="24"/>
        </w:rPr>
        <w:t xml:space="preserve">bis</w:t>
      </w:r>
      <w:r>
        <w:rPr>
          <w:rFonts w:ascii="Times New Roman" w:hAnsi="Times New Roman" w:cs="Times New Roman" w:eastAsia="Times New Roman"/>
          <w:color w:val="000000"/>
          <w:sz w:val="24"/>
        </w:rPr>
        <w:t xml:space="preserve">, comma 3 del Decreto Sostegni </w:t>
      </w:r>
      <w:r>
        <w:rPr>
          <w:rFonts w:ascii="Times New Roman" w:hAnsi="Times New Roman" w:cs="Times New Roman" w:eastAsia="Times New Roman"/>
          <w:i/>
          <w:color w:val="000000"/>
          <w:sz w:val="24"/>
        </w:rPr>
        <w:t xml:space="preserve">ter</w:t>
      </w:r>
      <w:r>
        <w:rPr>
          <w:rFonts w:ascii="Times New Roman" w:hAnsi="Times New Roman" w:cs="Times New Roman" w:eastAsia="Times New Roman"/>
          <w:color w:val="000000"/>
          <w:sz w:val="24"/>
        </w:rPr>
        <w:t xml:space="preserve">: pertanto, qualora le partite economiche risultino negative (ovvero nel caso di un prezzo di mercato più elevato del prezzo di riferimento) è previsto che il GSE provveda a richiedere al produttore l’importo corrispondente, laddove positive il GSE erogher</w:t>
      </w:r>
      <w:r>
        <w:rPr>
          <w:rFonts w:ascii="Times New Roman" w:hAnsi="Times New Roman" w:cs="Times New Roman" w:eastAsia="Times New Roman"/>
          <w:color w:val="000000"/>
          <w:sz w:val="24"/>
        </w:rPr>
        <w:t xml:space="preserve">à il relativo importo al produttore.</w:t>
      </w:r>
      <w:r/>
    </w:p>
    <w:p>
      <w:pPr>
        <w:numPr>
          <w:ilvl w:val="0"/>
          <w:numId w:val="1"/>
        </w:num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Il comma 6 del predetto art. 15 bis prevede che ARERA disciplini le modalità “</w:t>
      </w:r>
      <w:r>
        <w:rPr>
          <w:rFonts w:ascii="Times New Roman" w:hAnsi="Times New Roman" w:cs="Times New Roman" w:eastAsia="Times New Roman"/>
          <w:i/>
          <w:color w:val="000000"/>
          <w:sz w:val="24"/>
        </w:rPr>
        <w:t xml:space="preserve">con le quali è data attuazione alle disposizioni di cui ai commi 1, 2, 3, 4 e 5, nonché le modalità con le quali i proventi sono versati in un apposito fondo istituito presso la Cassa per i servizi energetici e ambientali e portati a riduzione del fabbisog</w:t>
      </w:r>
      <w:r>
        <w:rPr>
          <w:rFonts w:ascii="Times New Roman" w:hAnsi="Times New Roman" w:cs="Times New Roman" w:eastAsia="Times New Roman"/>
          <w:i/>
          <w:color w:val="000000"/>
          <w:sz w:val="24"/>
        </w:rPr>
        <w:t xml:space="preserve">no a copertura degli oneri generali afferenti al sistema elettrico”</w:t>
      </w:r>
      <w:r>
        <w:rPr>
          <w:rFonts w:ascii="Times New Roman" w:hAnsi="Times New Roman" w:cs="Times New Roman" w:eastAsia="Times New Roman"/>
          <w:color w:val="000000"/>
          <w:sz w:val="24"/>
        </w:rPr>
        <w:t xml:space="preserve">.</w:t>
      </w:r>
      <w:r/>
    </w:p>
    <w:p>
      <w:pPr>
        <w:numPr>
          <w:ilvl w:val="0"/>
          <w:numId w:val="1"/>
        </w:num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In attuazione dell’art. 15 – </w:t>
      </w:r>
      <w:r>
        <w:rPr>
          <w:rFonts w:ascii="Times New Roman" w:hAnsi="Times New Roman" w:cs="Times New Roman" w:eastAsia="Times New Roman"/>
          <w:i/>
          <w:color w:val="000000"/>
          <w:sz w:val="24"/>
        </w:rPr>
        <w:t xml:space="preserve">bis </w:t>
      </w:r>
      <w:r>
        <w:rPr>
          <w:rFonts w:ascii="Times New Roman" w:hAnsi="Times New Roman" w:cs="Times New Roman" w:eastAsia="Times New Roman"/>
          <w:color w:val="000000"/>
          <w:sz w:val="24"/>
        </w:rPr>
        <w:t xml:space="preserve">del Decreto Sostegni </w:t>
      </w:r>
      <w:r>
        <w:rPr>
          <w:rFonts w:ascii="Times New Roman" w:hAnsi="Times New Roman" w:cs="Times New Roman" w:eastAsia="Times New Roman"/>
          <w:i/>
          <w:color w:val="000000"/>
          <w:sz w:val="24"/>
        </w:rPr>
        <w:t xml:space="preserve">ter</w:t>
      </w:r>
      <w:r>
        <w:rPr>
          <w:rFonts w:ascii="Times New Roman" w:hAnsi="Times New Roman" w:cs="Times New Roman" w:eastAsia="Times New Roman"/>
          <w:color w:val="000000"/>
          <w:sz w:val="24"/>
        </w:rPr>
        <w:t xml:space="preserve">, la Deliberazione ARERA ha definito in dettaglio gli impianti interessati dall’applicazione del meccanismo di compensazione sopra descritto, demandando al GSE il compito di identificare la quantità di energia elettrica immessa nel periodo 1° febbraio 2022</w:t>
      </w:r>
      <w:r>
        <w:rPr>
          <w:rFonts w:ascii="Times New Roman" w:hAnsi="Times New Roman" w:cs="Times New Roman" w:eastAsia="Times New Roman"/>
          <w:color w:val="000000"/>
          <w:sz w:val="24"/>
        </w:rPr>
        <w:t xml:space="preserve"> – 31 dicembre 2022 (periodo ora prorogato, come detto, ai sensi dell’art. 11, comma 1 del Decreto Aiuti </w:t>
      </w:r>
      <w:r>
        <w:rPr>
          <w:rFonts w:ascii="Times New Roman" w:hAnsi="Times New Roman" w:cs="Times New Roman" w:eastAsia="Times New Roman"/>
          <w:i/>
          <w:color w:val="000000"/>
          <w:sz w:val="24"/>
        </w:rPr>
        <w:t xml:space="preserve">bis</w:t>
      </w:r>
      <w:r>
        <w:rPr>
          <w:rFonts w:ascii="Times New Roman" w:hAnsi="Times New Roman" w:cs="Times New Roman" w:eastAsia="Times New Roman"/>
          <w:color w:val="000000"/>
          <w:sz w:val="24"/>
        </w:rPr>
        <w:t xml:space="preserve">, fino al 30 giugno 2023)per la quale trova effettiva applicazione l’art. 15 – </w:t>
      </w:r>
      <w:r>
        <w:rPr>
          <w:rFonts w:ascii="Times New Roman" w:hAnsi="Times New Roman" w:cs="Times New Roman" w:eastAsia="Times New Roman"/>
          <w:i/>
          <w:color w:val="000000"/>
          <w:sz w:val="24"/>
        </w:rPr>
        <w:t xml:space="preserve">bis</w:t>
      </w:r>
      <w:r>
        <w:rPr>
          <w:rFonts w:ascii="Times New Roman" w:hAnsi="Times New Roman" w:cs="Times New Roman" w:eastAsia="Times New Roman"/>
          <w:color w:val="000000"/>
          <w:sz w:val="24"/>
        </w:rPr>
        <w:t xml:space="preserve"> del Decreto Sostegni </w:t>
      </w:r>
      <w:r>
        <w:rPr>
          <w:rFonts w:ascii="Times New Roman" w:hAnsi="Times New Roman" w:cs="Times New Roman" w:eastAsia="Times New Roman"/>
          <w:i/>
          <w:color w:val="000000"/>
          <w:sz w:val="24"/>
        </w:rPr>
        <w:t xml:space="preserve">ter</w:t>
      </w:r>
      <w:r>
        <w:rPr>
          <w:rFonts w:ascii="Times New Roman" w:hAnsi="Times New Roman" w:cs="Times New Roman" w:eastAsia="Times New Roman"/>
          <w:color w:val="000000"/>
          <w:sz w:val="24"/>
        </w:rPr>
        <w:t xml:space="preserve">, determinando così le partite economiche della misura secondo modalità e tempistiche che dipendono dalla tipologia di contratto di cessione dell’energia (ritiro dedicato ai prezzi zonali, scambio sul posto, vendita a operatori diversi dal GSE, ecc.).</w:t>
      </w:r>
      <w:r/>
    </w:p>
    <w:p>
      <w:p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CHE </w:t>
      </w:r>
      <w:r/>
    </w:p>
    <w:p>
      <w:pPr>
        <w:numPr>
          <w:ilvl w:val="0"/>
          <w:numId w:val="2"/>
        </w:num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La Deliberazione ARERA, all’art. 5, comma 6, dispone che “</w:t>
      </w:r>
      <w:r>
        <w:rPr>
          <w:rFonts w:ascii="Times New Roman" w:hAnsi="Times New Roman" w:cs="Times New Roman" w:eastAsia="Times New Roman"/>
          <w:i/>
          <w:color w:val="000000"/>
          <w:sz w:val="24"/>
        </w:rPr>
        <w:t xml:space="preserve">la regolazione delle partite economiche viene effettuata dal GSE per la prima volta nel mese di ottobre 2022 in modo cumulato per l’insieme dei mesi da febbraio ad agosto 2022. Successivamente, la regolazione delle partite economiche viene effettuata su ba</w:t>
      </w:r>
      <w:r>
        <w:rPr>
          <w:rFonts w:ascii="Times New Roman" w:hAnsi="Times New Roman" w:cs="Times New Roman" w:eastAsia="Times New Roman"/>
          <w:i/>
          <w:color w:val="000000"/>
          <w:sz w:val="24"/>
        </w:rPr>
        <w:t xml:space="preserve">se mensile (…) Il GSE prevede altresì una regolazione a conguaglio delle partite economiche da effettuare entro il mese di maggio 2023 sulla base dei dati a consuntivo</w:t>
      </w:r>
      <w:r>
        <w:rPr>
          <w:rFonts w:ascii="Times New Roman" w:hAnsi="Times New Roman" w:cs="Times New Roman" w:eastAsia="Times New Roman"/>
          <w:color w:val="000000"/>
          <w:sz w:val="24"/>
        </w:rPr>
        <w:t xml:space="preserve">”.</w:t>
      </w:r>
      <w:r/>
    </w:p>
    <w:p>
      <w:pPr>
        <w:numPr>
          <w:ilvl w:val="0"/>
          <w:numId w:val="2"/>
        </w:num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Il GSE, dando esecuzione alla Deliberazione ARERA di cui sopra, ha inviato al Comune di Osimo, quale proprietario dell’impianto fotovoltaico sito in via Giuggioli, (impianto censito con identificativo NEP202200011051), con nota dell’8 luglio 2022 </w:t>
      </w:r>
      <w:r>
        <w:rPr>
          <w:rFonts w:ascii="Times New Roman" w:hAnsi="Times New Roman" w:cs="Times New Roman" w:eastAsia="Times New Roman"/>
          <w:b/>
          <w:i/>
          <w:color w:val="000000"/>
          <w:sz w:val="24"/>
        </w:rPr>
        <w:t xml:space="preserve">“Comunicazione di inclusione nel perimetro di impianti interessati dall’art. 15 bis del d.l. 27 gennaio 2022, n. 4, cd “Debreto Sostegni ter”, intestati al Comune di Osimo</w:t>
      </w:r>
      <w:r>
        <w:rPr>
          <w:rFonts w:ascii="Times New Roman" w:hAnsi="Times New Roman" w:cs="Times New Roman" w:eastAsia="Times New Roman"/>
          <w:b/>
          <w:color w:val="000000"/>
          <w:sz w:val="24"/>
        </w:rPr>
        <w:t xml:space="preserve">”</w:t>
      </w:r>
      <w:r>
        <w:rPr>
          <w:rFonts w:ascii="Times New Roman" w:hAnsi="Times New Roman" w:cs="Times New Roman" w:eastAsia="Times New Roman"/>
          <w:color w:val="000000"/>
          <w:sz w:val="24"/>
        </w:rPr>
        <w:t xml:space="preserve">. </w:t>
      </w:r>
      <w:r/>
    </w:p>
    <w:p>
      <w:pPr>
        <w:ind w:left="0" w:right="-1" w:firstLine="0"/>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VISTO CHE in virtù di quanto sopra, è pervenuta al Comune di Osimo la fattura n. 2022035842 del 13/10/2022 di importo pari a euro 229.043,58;</w:t>
      </w:r>
      <w:r/>
    </w:p>
    <w:p>
      <w:pPr>
        <w:ind w:left="0" w:right="-1" w:firstLine="0"/>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VISTO CHE la predetta fattura è stata rifiutata dal Comune di Osimo anche in considerazione dell’ampio contenzioso che a livello nazionale è insorto contro il provvedimento di Arera; </w:t>
      </w:r>
      <w:r/>
    </w:p>
    <w:p>
      <w:pPr>
        <w:ind w:left="0" w:right="-1" w:firstLine="0"/>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VISTO CHE il Comune, in maniera prudenziale in sede di predisposizione del rendiconto anno 2022, approvato con delibera del Consiglio Comunale n. 23 del 06/06/2023, ha accantonato nell’avanzo per passività potenziali, la somma di € 229.043,58;</w:t>
      </w:r>
      <w:r/>
    </w:p>
    <w:p>
      <w:pPr>
        <w:ind w:left="0" w:right="-1" w:firstLine="0"/>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ALTRESI CHE:</w:t>
      </w:r>
      <w:r/>
    </w:p>
    <w:p>
      <w:pPr>
        <w:numPr>
          <w:ilvl w:val="0"/>
          <w:numId w:val="2"/>
        </w:num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il Tribunale amministrativo regionale per la Lombardia, sezione prima, con sentenza del 9 febbraio 2023, n. 340, ha annullato, ritenendola viziata sul piano istruttorio e motivazionale, la deliberazione dell’Autorità di regolazione per energia reti e ambie</w:t>
      </w:r>
      <w:r>
        <w:rPr>
          <w:rFonts w:ascii="Times New Roman" w:hAnsi="Times New Roman" w:cs="Times New Roman" w:eastAsia="Times New Roman"/>
          <w:color w:val="000000"/>
          <w:sz w:val="24"/>
        </w:rPr>
        <w:t xml:space="preserve">nte (A.R.E.R.A.) del 21 giugno 2022, n. 266/2022/R/eel, adottata in attuazione dell’articolo 15-bis del decreto-legge 27 gennaio 2022, n. 4, convertito in legge, con modificazioni, dalla legge 28 marzo 2022, n. 25;</w:t>
      </w:r>
      <w:r/>
    </w:p>
    <w:p>
      <w:pPr>
        <w:numPr>
          <w:ilvl w:val="0"/>
          <w:numId w:val="2"/>
        </w:num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Avverso la predetta sentenza, previa concessione della sospensione dell’efficacia, è stato proposto appello dal GSE avanti il Consiglio di Stato; </w:t>
      </w:r>
      <w:r/>
    </w:p>
    <w:p>
      <w:pPr>
        <w:numPr>
          <w:ilvl w:val="0"/>
          <w:numId w:val="2"/>
        </w:num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Nelle more della decisione del Consiglio di Stato, il Tribunale amministrativo regionale per la Lombardia, nell’ambito di un altro giudizio sulla legittimità della deliberazione n. 266/2022/R/eel nonché della deliberazione n. 143/2023/R/EEL del 4 aprile 20</w:t>
      </w:r>
      <w:r>
        <w:rPr>
          <w:rFonts w:ascii="Times New Roman" w:hAnsi="Times New Roman" w:cs="Times New Roman" w:eastAsia="Times New Roman"/>
          <w:color w:val="000000"/>
          <w:sz w:val="24"/>
        </w:rPr>
        <w:t xml:space="preserve">23 adottata anch’essa dall’ARERA in attuazione dell’art. 15 bis del decreto-legge n. 4 del 2022, con ordinanza n. 1744 del 7 luglio 2023 ha sottoposto alla Corte di giustizia i seguenti quesiti interpretativi:</w:t>
      </w:r>
      <w:r/>
    </w:p>
    <w:p>
      <w:pPr>
        <w:numPr>
          <w:ilvl w:val="0"/>
          <w:numId w:val="3"/>
        </w:numPr>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“se l’art. 5 par 4 della Direttiva UE 2019/944, i considerando nn. 3 e 12 della Direttiva UE 2018/2001, i considerando nn. 27, 28, 29, 39, l’art. 6 par. 1, l’art. 8 par. 2 del Regolamento n. 2022/1854/UE, ostano a una disciplina nazionale che individui un </w:t>
      </w:r>
      <w:r>
        <w:rPr>
          <w:rFonts w:ascii="Times New Roman" w:hAnsi="Times New Roman" w:cs="Times New Roman" w:eastAsia="Times New Roman"/>
          <w:color w:val="000000"/>
          <w:sz w:val="24"/>
        </w:rPr>
        <w:t xml:space="preserve">tetto sui ricavi di mercato ottenuti dalla vendita di energia elettrica con le modalità previste dall’articolo 15 bis del D.L. 27.1.2022 n. 4, che non garantisca ai produttori di mantenere il 10% dei ricavi al di sopra dello stesso tetto”;</w:t>
      </w:r>
      <w:r/>
    </w:p>
    <w:p>
      <w:pPr>
        <w:numPr>
          <w:ilvl w:val="0"/>
          <w:numId w:val="3"/>
        </w:numPr>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“se l’art. 5 par 4 della Direttiva UE 2019/944, i considerando nn. 2, 3 e 12 della Direttiva UE 2018/2001, i considerando nn. 27, 28, 29, 39, l’art. 6 par. 1, l’art. 8 par. 2 lett b) e c) del Regolamento n. 2022/1854/UE, ostano a una disciplina nazionale c</w:t>
      </w:r>
      <w:r>
        <w:rPr>
          <w:rFonts w:ascii="Times New Roman" w:hAnsi="Times New Roman" w:cs="Times New Roman" w:eastAsia="Times New Roman"/>
          <w:color w:val="000000"/>
          <w:sz w:val="24"/>
        </w:rPr>
        <w:t xml:space="preserve">he individui un tetto sui ricavi di mercato ottenuti dalla vendita di energia elettrica con le modalità previste dall’articolo 15 bis del D.L. 27.1.2022 n. 4, che non preservi ed incentivi gli investimenti nel settore delle energie rinnovabili”;</w:t>
      </w:r>
      <w:r/>
    </w:p>
    <w:p>
      <w:pPr>
        <w:numPr>
          <w:ilvl w:val="0"/>
          <w:numId w:val="3"/>
        </w:numPr>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“se il considerando n. 3 della Direttiva UE 2018/2001, i considerando nn. 27 e 41, l’art. 7 par. 1, lett. h, i e j, l’art. 8 par. 1 lett. a) e d) e par. 2 del Regolamento n. 2022/1854/UE, ostano a una disciplina nazionale che individui un tetto sui ricavi </w:t>
      </w:r>
      <w:r>
        <w:rPr>
          <w:rFonts w:ascii="Times New Roman" w:hAnsi="Times New Roman" w:cs="Times New Roman" w:eastAsia="Times New Roman"/>
          <w:color w:val="000000"/>
          <w:sz w:val="24"/>
        </w:rPr>
        <w:t xml:space="preserve">di mercato ottenuti dalla vendita di energia elettrica con le modalità previste dall’articolo 15 bis del D.L. 27.1.2022 n. 4, che non preveda alcun tetto specifico ai ricavi ottenuti dalla vendita di energia prodotta a partire da carbon fossile, né una dis</w:t>
      </w:r>
      <w:r>
        <w:rPr>
          <w:rFonts w:ascii="Times New Roman" w:hAnsi="Times New Roman" w:cs="Times New Roman" w:eastAsia="Times New Roman"/>
          <w:color w:val="000000"/>
          <w:sz w:val="24"/>
        </w:rPr>
        <w:t xml:space="preserve">ciplina differenziata in relazione alle diverse fonti di produzione”;</w:t>
      </w:r>
      <w:r/>
    </w:p>
    <w:p>
      <w:pPr>
        <w:numPr>
          <w:ilvl w:val="0"/>
          <w:numId w:val="2"/>
        </w:numPr>
        <w:ind w:left="283" w:right="0" w:hanging="283"/>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 la sentenza del 22 gennaio 2026, la Corte di Giustizia UE ha risposto ai quesiti formulati dal TAR Milano nel luglio 2023 stabilendo che gli standard europei in ambito energetico (direttiva 2019/944, direttiva 2018/2001 e regolamento 2022/1854) non ost</w:t>
      </w:r>
      <w:r>
        <w:rPr>
          <w:rFonts w:ascii="Times New Roman" w:hAnsi="Times New Roman" w:cs="Times New Roman" w:eastAsia="Times New Roman"/>
          <w:color w:val="000000"/>
          <w:sz w:val="24"/>
        </w:rPr>
        <w:t xml:space="preserve">ino ad una normativa nazionale più restrittiva, come è il caso dell’art.15bis del DL 4/2022 e delle disposizioni correlate. Le questioni sollevate – compatibilità, periodo di riferimento per il calcolo del tetto ai prezzi e assenza di misure analoghe rivol</w:t>
      </w:r>
      <w:r>
        <w:rPr>
          <w:rFonts w:ascii="Times New Roman" w:hAnsi="Times New Roman" w:cs="Times New Roman" w:eastAsia="Times New Roman"/>
          <w:color w:val="000000"/>
          <w:sz w:val="24"/>
        </w:rPr>
        <w:t xml:space="preserve">te agli altri produttori di energia, in particolare da fonti fossili – non sono incompatibili con la normativa europea. La valutazione, invece, se il decreto italiano comprometta gli investimenti e non assicuri la copertura di investimenti e costi di eserc</w:t>
      </w:r>
      <w:r>
        <w:rPr>
          <w:rFonts w:ascii="Times New Roman" w:hAnsi="Times New Roman" w:cs="Times New Roman" w:eastAsia="Times New Roman"/>
          <w:color w:val="000000"/>
          <w:sz w:val="24"/>
        </w:rPr>
        <w:t xml:space="preserve">izio viene considerata di natura materiale, intrinseca del mercato nazionale e delle circostanze di diritto e di fatto: rientra pertanto nelle competenze del giudice nazionale. </w:t>
      </w:r>
      <w:r/>
    </w:p>
    <w:p>
      <w:pPr>
        <w:ind w:left="0" w:right="-1" w:firstLine="0"/>
        <w:jc w:val="both"/>
        <w:spacing w:before="0" w:after="200" w:line="240" w:lineRule="auto"/>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VISTO CHE a seguito alla predetta pronuncia della Corte di Giustizia, il GSE spa  ha emesso nei confronti del Comune di Osimo fattura n. 2026001728 del 26/02/2026 di importo pari ad euro 259.981,36 e la fattura n. 2026001729 del 26/02/2026 di importo pari </w:t>
      </w:r>
      <w:r>
        <w:rPr>
          <w:rFonts w:ascii="Times New Roman" w:hAnsi="Times New Roman" w:cs="Times New Roman" w:eastAsia="Times New Roman"/>
          <w:color w:val="000000"/>
          <w:sz w:val="24"/>
        </w:rPr>
        <w:t xml:space="preserve">a euro 18.888,51 e parimenti con nota del 27/03/2026 acquisita al protocollo dell’Ente in data 31/03/2026 al n. 0011647 ha diffidato questo Comune al pagamento del predetto importo entro e non oltre 15 giorni del complessivo importo di € 278.869,88;</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CHE </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Sebbene il sopra cennato contenzioso non si sia  ancora definitivamente esaurito, dovendosi infatti segnalare un nuovo rinvio pregiudiziale alla Corte di Giustizia operato dal Consiglio di Stato </w:t>
      </w:r>
      <w:r>
        <w:rPr>
          <w:rFonts w:ascii="Times New Roman" w:hAnsi="Times New Roman" w:cs="Times New Roman" w:eastAsia="Times New Roman"/>
          <w:color w:val="000000"/>
          <w:sz w:val="24"/>
          <w:highlight w:val="white"/>
        </w:rPr>
        <w:t xml:space="preserve">con ordinanza n. 3550/2026 a seguito dell’udienza del 31 marzo u.s, anche in considerazione del fatto che il Comune di Osimo non ha proposto ricorso giurisdizionale avverso il predetto provvedimento del GSE  e che non sono pendenti questioni di illegittimi</w:t>
      </w:r>
      <w:r>
        <w:rPr>
          <w:rFonts w:ascii="Times New Roman" w:hAnsi="Times New Roman" w:cs="Times New Roman" w:eastAsia="Times New Roman"/>
          <w:color w:val="000000"/>
          <w:sz w:val="24"/>
          <w:highlight w:val="white"/>
        </w:rPr>
        <w:t xml:space="preserve">tà costituzionale; si ritiene doveroso procedere al pagamento della  </w:t>
      </w:r>
      <w:r>
        <w:rPr>
          <w:rFonts w:ascii="Times New Roman" w:hAnsi="Times New Roman" w:cs="Times New Roman" w:eastAsia="Times New Roman"/>
          <w:color w:val="000000"/>
          <w:sz w:val="24"/>
        </w:rPr>
        <w:t xml:space="preserve">fattura n. 2026001728 del 26/02/2026 di importo pari ad euro 278.869,88 al fine di non esporre l’Ente ad azioni esecutive, precisando tuttavia che il pagamento non costituisce acquiescenza e facendo comunque  salvo il diritto di ripetizione dell’indebito,</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white"/>
        </w:rPr>
        <w:t xml:space="preserve">ATTESO che, relativamente a tale somma, si rende quindi ora necessario ricorrere alla procedura consiliare del riconoscimento di debito fuori bilancio, di cui all’art. 194 – comma 1 – lett. e) – del D.Lgs. 18/08/2000 n. 267, al fine di consentire l’effettu</w:t>
      </w:r>
      <w:r>
        <w:rPr>
          <w:rFonts w:ascii="Times New Roman" w:hAnsi="Times New Roman" w:cs="Times New Roman" w:eastAsia="Times New Roman"/>
          <w:color w:val="000000"/>
          <w:sz w:val="24"/>
          <w:highlight w:val="white"/>
        </w:rPr>
        <w:t xml:space="preserve">azione del pagamento; </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white"/>
        </w:rPr>
        <w:t xml:space="preserve">VISTO CHE la somma per il riconoscimento del debito fuori bilancio è stata inserita nella variazione di cui al punto precedente all’ordine del giorno per l’importo totale di € 278.869,88;</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white"/>
        </w:rPr>
        <w:t xml:space="preserve">VISTO CHE l’importo di € 278.869,88 trova copertura alla Missione 17 programma 1 Piano Finanziario 1.3.2.15.999 cap. 1481 alla voce “Corrispettivo al GSE corrispettivo fotovoltaico”;</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yellow"/>
        </w:rPr>
        <w:t xml:space="preserve">VISTO il parere del Collegio dei Revisori dei Conti espresso in data __.__.____, con il quale è stato espresso parere __________ sulla proposta di deliberazione relativa al riconoscimento del debito fuori bilancio di cui sopra;</w:t>
      </w:r>
      <w:r>
        <w:rPr>
          <w:rFonts w:ascii="Times New Roman" w:hAnsi="Times New Roman" w:cs="Times New Roman" w:eastAsia="Times New Roman"/>
          <w:color w:val="000000"/>
          <w:sz w:val="24"/>
          <w:highlight w:val="white"/>
        </w:rPr>
        <w:t xml:space="preserve"> </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white"/>
        </w:rPr>
        <w:t xml:space="preserve">ACQUISITI i seguenti pareri, ai sensi dell’art. 49 del D.Lgs. n. 267/2000: </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white"/>
        </w:rPr>
        <w:t xml:space="preserve">Parere favorevole di regolarità tecnica </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t xml:space="preserve">La</w:t>
      </w:r>
      <w:r>
        <w:rPr>
          <w:rFonts w:ascii="Times New Roman" w:hAnsi="Times New Roman" w:cs="Times New Roman" w:eastAsia="Times New Roman"/>
          <w:color w:val="000000"/>
          <w:sz w:val="24"/>
          <w:highlight w:val="white"/>
        </w:rPr>
        <w:t xml:space="preserve"> Dirigente del Dipartimento del Territorio – Arch. Manuela Vecchietti  </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white"/>
        </w:rPr>
        <w:t xml:space="preserve">Parere favorevole di regolarità contabile </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white"/>
        </w:rPr>
        <w:t xml:space="preserve">La Dirigente Dipartimento Finanze – D.ssa Anna Tiberi</w:t>
      </w:r>
      <w:r/>
    </w:p>
    <w:p>
      <w:pPr>
        <w:ind w:left="0" w:right="-1" w:firstLine="0"/>
        <w:jc w:val="center"/>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 E L I B E R A</w:t>
      </w:r>
      <w:r/>
    </w:p>
    <w:p>
      <w:pPr>
        <w:numPr>
          <w:ilvl w:val="1"/>
          <w:numId w:val="4"/>
        </w:numPr>
        <w:ind w:left="283" w:right="0" w:hanging="283"/>
        <w:jc w:val="both"/>
        <w:spacing w:before="0" w:after="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dare atto che le premesse formano parte integrante e sostanziale della presente deliberazione e, pertanto, si intendono qui materialmente trascritte ed approvate; </w:t>
      </w:r>
      <w:r/>
    </w:p>
    <w:p>
      <w:pPr>
        <w:numPr>
          <w:ilvl w:val="1"/>
          <w:numId w:val="4"/>
        </w:numPr>
        <w:ind w:left="283" w:right="0" w:hanging="283"/>
        <w:jc w:val="both"/>
        <w:spacing w:before="0" w:after="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riconoscere, ai sensi e per gli effetti dell’art. 194 – comma 1 – lett. e) del D.Lgs. 18/08/2000 n. 267, la legittimità del debito fuori bilancio per il </w:t>
      </w:r>
      <w:r>
        <w:rPr>
          <w:rFonts w:ascii="Times New Roman" w:hAnsi="Times New Roman" w:cs="Times New Roman" w:eastAsia="Times New Roman"/>
          <w:color w:val="000000"/>
          <w:sz w:val="24"/>
          <w:highlight w:val="white"/>
        </w:rPr>
        <w:t xml:space="preserve">pagamento della</w:t>
      </w:r>
      <w:r>
        <w:rPr>
          <w:rFonts w:ascii="Times New Roman" w:hAnsi="Times New Roman" w:cs="Times New Roman" w:eastAsia="Times New Roman"/>
          <w:color w:val="000000"/>
          <w:sz w:val="24"/>
        </w:rPr>
        <w:t xml:space="preserve">fattura n. 2026001728 del 26/02/2026 di importo pari ad euro 259.981,36 e della fattura n. 2026001729 del 26/02/2026 di importo pari a euro 18.888,51 per un importo complessivo di €</w:t>
      </w:r>
      <w:r>
        <w:rPr>
          <w:rFonts w:ascii="Times New Roman" w:hAnsi="Times New Roman" w:cs="Times New Roman" w:eastAsia="Times New Roman"/>
          <w:color w:val="000000"/>
          <w:sz w:val="24"/>
          <w:highlight w:val="white"/>
        </w:rPr>
        <w:t xml:space="preserve">278.869,88;</w:t>
      </w:r>
      <w:r/>
    </w:p>
    <w:p>
      <w:pPr>
        <w:numPr>
          <w:ilvl w:val="1"/>
          <w:numId w:val="4"/>
        </w:numPr>
        <w:ind w:left="283" w:right="0" w:hanging="283"/>
        <w:jc w:val="both"/>
        <w:spacing w:before="0" w:after="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dare atto che la relativa spesa trova copertura nel Bilancio di previsione 2026/2028 – Esercizio 2026 - alla </w:t>
      </w:r>
      <w:r>
        <w:rPr>
          <w:rFonts w:ascii="Times New Roman" w:hAnsi="Times New Roman" w:cs="Times New Roman" w:eastAsia="Times New Roman"/>
          <w:color w:val="000000"/>
          <w:sz w:val="24"/>
          <w:highlight w:val="white"/>
        </w:rPr>
        <w:t xml:space="preserve">Missione 17 programma 1 Piano Finanziario 1.3.2.15.999 cap. 1481 alla voce “Corrispettivo al GSE corrispettivo fotovoltaico”</w:t>
      </w:r>
      <w:r>
        <w:rPr>
          <w:rFonts w:ascii="Times New Roman" w:hAnsi="Times New Roman" w:cs="Times New Roman" w:eastAsia="Times New Roman"/>
          <w:color w:val="000000"/>
          <w:sz w:val="24"/>
        </w:rPr>
        <w:t xml:space="preserve">;</w:t>
      </w:r>
      <w:r/>
    </w:p>
    <w:p>
      <w:pPr>
        <w:numPr>
          <w:ilvl w:val="1"/>
          <w:numId w:val="4"/>
        </w:numPr>
        <w:ind w:left="283" w:right="0" w:hanging="283"/>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dare atto che le attività per dare esecuzione al presente deliberato verranno poste in essere dal Dirigente competente;</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quindi, onde consentire tempestivamente l’effettuazione dei pagamenti e non esporre l’Ente ad azioni esecutive</w:t>
      </w:r>
      <w:r/>
    </w:p>
    <w:p>
      <w:pPr>
        <w:ind w:left="0" w:right="-1" w:firstLine="0"/>
        <w:jc w:val="center"/>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DELIBERA</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rendere la presente deliberazione immediatamente eseguibile, ai sensi dell’art. 134, 4° comma, del D.Lgs. 18 agosto 2000 n. 267 e successive modifiche ed integrazioni.</w:t>
      </w:r>
      <w:r/>
    </w:p>
    <w:p>
      <w:pPr>
        <w:ind w:left="0" w:right="-1" w:firstLine="0"/>
        <w:jc w:val="both"/>
        <w:spacing w:before="0" w:after="160" w:line="240" w:lineRule="auto"/>
        <w:shd w:val="clear" w:color="ffffff" w:fill="ffffff"/>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jc w:val="center"/>
        <w:spacing w:line="240" w:lineRule="auto"/>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spacing w:line="240" w:lineRule="auto"/>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spacing w:line="240" w:lineRule="auto"/>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spacing w:line="240" w:lineRule="auto"/>
        <w:rPr>
          <w:rFonts w:ascii="Arial" w:hAnsi="Arial" w:cs="Arial" w:eastAsia="Arial"/>
          <w:b/>
          <w:bCs/>
          <w:sz w:val="24"/>
          <w:szCs w:val="24"/>
          <w:highlight w:val="none"/>
        </w:rPr>
      </w:pPr>
      <w:r>
        <w:rPr>
          <w:rFonts w:ascii="Arial" w:hAnsi="Arial" w:cs="Arial" w:eastAsia="Arial"/>
          <w:b/>
          <w:bCs/>
          <w:sz w:val="24"/>
          <w:szCs w:val="24"/>
          <w:highlight w:val="none"/>
        </w:rPr>
      </w:r>
      <w:r>
        <w:rPr>
          <w:rFonts w:ascii="Arial" w:hAnsi="Arial" w:cs="Arial" w:eastAsia="Arial"/>
          <w:b/>
          <w:bCs/>
          <w:sz w:val="24"/>
          <w:szCs w:val="24"/>
          <w:highlight w:val="none"/>
        </w:rPr>
      </w:r>
      <w:r/>
    </w:p>
    <w:p>
      <w:pPr>
        <w:jc w:val="center"/>
        <w:spacing w:line="240" w:lineRule="auto"/>
      </w:pPr>
      <w:r>
        <w:rPr>
          <w:rFonts w:ascii="Arial" w:hAnsi="Arial" w:cs="Arial" w:eastAsia="Arial"/>
          <w:b/>
          <w:sz w:val="24"/>
          <w:highlight w:val="none"/>
        </w:rPr>
      </w:r>
      <w:r>
        <w:rPr>
          <w:rFonts w:ascii="Arial" w:hAnsi="Arial" w:cs="Arial" w:eastAsia="Arial"/>
          <w:b/>
          <w:sz w:val="24"/>
          <w:highlight w:val="none"/>
        </w:rPr>
      </w:r>
      <w:r/>
    </w:p>
    <w:p>
      <w:pPr>
        <w:jc w:val="center"/>
      </w:pPr>
      <w:r>
        <w:rPr>
          <w:rFonts w:ascii="Arial" w:hAnsi="Arial" w:cs="Arial" w:eastAsia="Arial"/>
          <w:b/>
          <w:sz w:val="24"/>
          <w:highlight w:val="none"/>
        </w:rPr>
        <w:t xml:space="preserve">***</w:t>
      </w:r>
      <w:r>
        <w:rPr>
          <w:rFonts w:ascii="Arial" w:hAnsi="Arial" w:cs="Arial" w:eastAsia="Arial"/>
          <w:b/>
          <w:sz w:val="24"/>
          <w:highlight w:val="none"/>
        </w:rPr>
      </w:r>
      <w:r/>
    </w:p>
    <w:p>
      <w:pPr>
        <w:jc w:val="left"/>
        <w:rPr>
          <w:bCs/>
          <w:i/>
          <w:sz w:val="20"/>
          <w:szCs w:val="20"/>
        </w:rPr>
      </w:pPr>
      <w:r>
        <w:rPr>
          <w:rFonts w:ascii="Arial" w:hAnsi="Arial" w:cs="Arial" w:eastAsia="Arial"/>
          <w:b/>
          <w:i/>
          <w:iCs/>
          <w:sz w:val="20"/>
          <w:szCs w:val="20"/>
          <w:highlight w:val="none"/>
        </w:rPr>
        <w:t xml:space="preserve">A</w:t>
      </w:r>
      <w:r>
        <w:rPr>
          <w:rFonts w:ascii="Arial" w:hAnsi="Arial" w:cs="Arial" w:eastAsia="Arial"/>
          <w:b/>
          <w:i/>
          <w:iCs/>
          <w:sz w:val="20"/>
          <w:szCs w:val="20"/>
          <w:highlight w:val="none"/>
        </w:rPr>
        <w:t xml:space="preserve">i sensi dell’art.35 del Regolamento del Consiglio Comunale, le sedute pubbliche del Consiglio Comunale vengono riprese e trasmesse via web e sono integralmente registrate su supporto digitale. Dette registrazioni sono consultabili attraverso il sito Intern</w:t>
      </w:r>
      <w:r>
        <w:rPr>
          <w:rFonts w:ascii="Arial" w:hAnsi="Arial" w:cs="Arial" w:eastAsia="Arial"/>
          <w:b/>
          <w:i/>
          <w:iCs/>
          <w:sz w:val="20"/>
          <w:szCs w:val="20"/>
          <w:highlight w:val="none"/>
        </w:rPr>
        <w:t xml:space="preserve">et del Comune.</w:t>
      </w:r>
      <w:r>
        <w:rPr>
          <w:bCs/>
          <w:i/>
          <w:sz w:val="20"/>
          <w:szCs w:val="20"/>
        </w:rPr>
      </w:r>
      <w:r/>
    </w:p>
    <w:p>
      <w:pPr>
        <w:jc w:val="center"/>
        <w:rPr>
          <w:rFonts w:ascii="Arial" w:hAnsi="Arial" w:cs="Arial" w:eastAsia="Arial"/>
          <w:b/>
          <w:bCs/>
          <w:sz w:val="24"/>
          <w:szCs w:val="24"/>
          <w:highlight w:val="none"/>
        </w:rPr>
      </w:pPr>
      <w:r>
        <w:rPr>
          <w:rFonts w:ascii="Arial" w:hAnsi="Arial" w:cs="Arial" w:eastAsia="Arial"/>
          <w:b/>
          <w:sz w:val="24"/>
          <w:highlight w:val="none"/>
        </w:rPr>
        <w:t xml:space="preserve">***</w:t>
      </w:r>
      <w:r>
        <w:rPr>
          <w:rFonts w:ascii="Arial" w:hAnsi="Arial" w:cs="Arial" w:eastAsia="Arial"/>
          <w:b/>
          <w:bCs/>
          <w:sz w:val="24"/>
          <w:szCs w:val="24"/>
          <w:highlight w:val="none"/>
        </w:rPr>
      </w:r>
      <w:r/>
    </w:p>
    <w:sectPr>
      <w:headerReference w:type="default" r:id="rId9"/>
      <w:footerReference w:type="default" r:id="rId10"/>
      <w:footnotePr/>
      <w:endnotePr/>
      <w:type w:val="nextPage"/>
      <w:pgSz w:w="11906" w:h="16838" w:orient="portrait"/>
      <w:pgMar w:top="1134" w:right="1134" w:bottom="1134"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Wingdings">
    <w:panose1 w:val="05010000000000000000"/>
  </w:font>
  <w:font w:name="Symbol">
    <w:panose1 w:val="05010000000000000000"/>
  </w:font>
  <w:font w:name="Arial">
    <w:panose1 w:val="020B0604020202020204"/>
  </w:font>
  <w:font w:name="SimSun">
    <w:panose1 w:val="02020603020101020101"/>
  </w:font>
  <w:font w:name="Courier New">
    <w:panose1 w:val="02070309020205020404"/>
  </w:font>
  <w:font w:name="Mangal">
    <w:panose1 w:val="02020603050405020304"/>
  </w:font>
  <w:font w:name="Liberation Serif">
    <w:panose1 w:val="020206030504050203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18"/>
        <w:highlight w:val="none"/>
      </w:rPr>
    </w:r>
    <w:r/>
  </w:p>
  <w:p>
    <w:pPr>
      <w:ind w:left="0" w:right="0" w:firstLine="0"/>
      <w:jc w:val="left"/>
      <w:spacing w:before="0" w:after="0"/>
      <w:rPr>
        <w:rFonts w:ascii="Arial" w:hAnsi="Arial" w:cs="Arial" w:eastAsia="Arial"/>
        <w:color w:val="000000"/>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18"/>
      </w:rPr>
      <w:t xml:space="preserve">Proposta di </w:t>
    </w:r>
    <w:r>
      <w:rPr>
        <w:rFonts w:ascii="Arial" w:hAnsi="Arial" w:cs="Arial" w:eastAsia="Arial"/>
        <w:color w:val="000000"/>
        <w:sz w:val="18"/>
      </w:rPr>
      <w:t xml:space="preserve">Delibera di Consiglio</w:t>
    </w:r>
    <w:r>
      <w:rPr>
        <w:rFonts w:ascii="Arial" w:hAnsi="Arial" w:cs="Arial" w:eastAsia="Arial"/>
        <w:color w:val="000000"/>
        <w:sz w:val="18"/>
      </w:rPr>
      <w:t xml:space="preserve"> n. 534 del 12/05/2026</w:t>
    </w:r>
    <w:r>
      <w:rPr>
        <w:rFonts w:ascii="Arial" w:hAnsi="Arial" w:cs="Arial" w:eastAsia="Arial"/>
        <w:color w:val="000000"/>
        <w:highlight w:val="none"/>
      </w:rPr>
    </w:r>
    <w:r/>
  </w:p>
  <w:p>
    <w:pPr>
      <w:pStyle w:val="739"/>
      <w:jc w:val="right"/>
      <w:rPr>
        <w:rFonts w:ascii="Arial" w:hAnsi="Arial" w:cs="Arial" w:eastAsia="Arial"/>
        <w:highlight w:val="none"/>
      </w:rPr>
    </w:pPr>
    <w:r>
      <w:rPr>
        <w:rFonts w:ascii="Arial" w:hAnsi="Arial" w:cs="Arial" w:eastAsia="Arial"/>
        <w:sz w:val="18"/>
      </w:rPr>
      <w:t xml:space="preserve">Pag. </w:t>
    </w:r>
    <w:fldSimple w:instr="PAGE \* MERGEFORMAT">
      <w:r>
        <w:rPr>
          <w:rFonts w:ascii="Arial" w:hAnsi="Arial" w:cs="Arial" w:eastAsia="Arial"/>
          <w:sz w:val="18"/>
        </w:rPr>
        <w:t xml:space="preserve">1</w:t>
      </w:r>
    </w:fldSimple>
    <w:r>
      <w:rPr>
        <w:rFonts w:ascii="Arial" w:hAnsi="Arial" w:cs="Arial" w:eastAsia="Arial"/>
        <w:sz w:val="18"/>
      </w:rPr>
    </w:r>
    <w:r>
      <w:rPr>
        <w:rFonts w:ascii="Arial" w:hAnsi="Arial" w:cs="Arial" w:eastAsia="Arial"/>
        <w:highlight w:val="none"/>
      </w:rPr>
    </w:r>
    <w:r/>
  </w:p>
  <w:p>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7"/>
    </w:pPr>
    <w:r/>
    <w:r/>
  </w:p>
  <w:p>
    <w:r>
      <w:rPr>
        <w:rFonts w:ascii="Times New Roman" w:hAnsi="Times New Roman" w:cs="Times New Roman" w:eastAsia="Times New Roman"/>
        <w:lang w:bidi="ar-SA"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-226695</wp:posOffset>
              </wp:positionH>
              <wp:positionV relativeFrom="paragraph">
                <wp:posOffset>-144145</wp:posOffset>
              </wp:positionV>
              <wp:extent cx="1444625" cy="1776730"/>
              <wp:effectExtent l="0" t="0" r="0" b="0"/>
              <wp:wrapNone/>
              <wp:docPr id="1" name="Immagine 1" descr="logo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0020" name="Immagine 1" descr="logo1" hidden="0"/>
                      <pic:cNvPicPr>
                        <a:picLocks noChangeAspect="1"/>
                      </pic:cNvPicPr>
                      <pic:nvPr isPhoto="0" userDrawn="0"/>
                    </pic:nvPicPr>
                    <pic:blipFill>
                      <a:blip r:embed="rId1"/>
                      <a:stretch/>
                    </pic:blipFill>
                    <pic:spPr bwMode="auto">
                      <a:xfrm rot="0" flipH="0" flipV="0">
                        <a:off x="0" y="0"/>
                        <a:ext cx="1444624" cy="177672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7.8pt;mso-position-horizontal:absolute;mso-position-vertical-relative:text;margin-top:-11.3pt;mso-position-vertical:absolute;width:113.8pt;height:139.9pt;rotation:0;" stroked="false">
              <v:path textboxrect="0,0,0,0"/>
              <v:imagedata r:id="rId1" o:title=""/>
            </v:shape>
          </w:pict>
        </mc:Fallback>
      </mc:AlternateContent>
    </w:r>
    <w:r/>
  </w:p>
  <w:p>
    <w:pPr>
      <w:pStyle w:val="780"/>
    </w:pPr>
    <w:r/>
    <w:r/>
  </w:p>
  <w:p>
    <w:r/>
    <w:r/>
  </w:p>
  <w:p>
    <w:r/>
    <w:r/>
  </w:p>
  <w:p>
    <w:r/>
    <w:r/>
  </w:p>
  <w:p>
    <w:r/>
    <w:r/>
  </w:p>
  <w:p>
    <w: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abstractNum w:abstractNumId="1">
    <w:multiLevelType w:val="hybridMultilevel"/>
    <w:lvl w:ilvl="0">
      <w:start w:val="1"/>
      <w:numFmt w:val="bullet"/>
      <w:isLgl w:val="false"/>
      <w:suff w:val="tab"/>
      <w:lvlText w:val="-"/>
      <w:lvlJc w:val="left"/>
      <w:pPr>
        <w:ind w:left="720" w:hanging="360"/>
      </w:pPr>
      <w:rPr>
        <w:rFonts w:ascii="Symbol" w:hAnsi="Symbol" w:cs="Symbol" w:eastAsia="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bullet"/>
      <w:isLgl w:val="false"/>
      <w:suff w:val="tab"/>
      <w:lvlText w:val=""/>
      <w:lvlJc w:val="left"/>
      <w:pPr>
        <w:ind w:left="1080" w:hanging="360"/>
      </w:pPr>
      <w:rPr>
        <w:rFonts w:ascii="Symbol" w:hAnsi="Symbol" w:cs="Symbol" w:eastAsia="Symbol" w:hint="default"/>
      </w:rPr>
    </w:lvl>
    <w:lvl w:ilvl="1">
      <w:start w:val="1"/>
      <w:numFmt w:val="bullet"/>
      <w:isLgl w:val="false"/>
      <w:suff w:val="tab"/>
      <w:lvlText w:val="o"/>
      <w:lvlJc w:val="left"/>
      <w:pPr>
        <w:ind w:left="1800" w:hanging="360"/>
      </w:pPr>
      <w:rPr>
        <w:rFonts w:ascii="Courier New" w:hAnsi="Courier New" w:cs="Courier New" w:eastAsia="Courier New" w:hint="default"/>
      </w:rPr>
    </w:lvl>
    <w:lvl w:ilvl="2">
      <w:start w:val="1"/>
      <w:numFmt w:val="bullet"/>
      <w:isLgl w:val="false"/>
      <w:suff w:val="tab"/>
      <w:lvlText w:val=""/>
      <w:lvlJc w:val="left"/>
      <w:pPr>
        <w:ind w:left="2520" w:hanging="360"/>
      </w:pPr>
      <w:rPr>
        <w:rFonts w:ascii="Wingdings" w:hAnsi="Wingdings" w:cs="Wingdings" w:eastAsia="Wingdings" w:hint="default"/>
      </w:rPr>
    </w:lvl>
    <w:lvl w:ilvl="3">
      <w:start w:val="1"/>
      <w:numFmt w:val="bullet"/>
      <w:isLgl w:val="false"/>
      <w:suff w:val="tab"/>
      <w:lvlText w:val=""/>
      <w:lvlJc w:val="left"/>
      <w:pPr>
        <w:ind w:left="3240" w:hanging="360"/>
      </w:pPr>
      <w:rPr>
        <w:rFonts w:ascii="Symbol" w:hAnsi="Symbol" w:cs="Symbol" w:eastAsia="Symbol" w:hint="default"/>
      </w:rPr>
    </w:lvl>
    <w:lvl w:ilvl="4">
      <w:start w:val="1"/>
      <w:numFmt w:val="bullet"/>
      <w:isLgl w:val="false"/>
      <w:suff w:val="tab"/>
      <w:lvlText w:val="o"/>
      <w:lvlJc w:val="left"/>
      <w:pPr>
        <w:ind w:left="3960" w:hanging="360"/>
      </w:pPr>
      <w:rPr>
        <w:rFonts w:ascii="Courier New" w:hAnsi="Courier New" w:cs="Courier New" w:eastAsia="Courier New" w:hint="default"/>
      </w:rPr>
    </w:lvl>
    <w:lvl w:ilvl="5">
      <w:start w:val="1"/>
      <w:numFmt w:val="bullet"/>
      <w:isLgl w:val="false"/>
      <w:suff w:val="tab"/>
      <w:lvlText w:val=""/>
      <w:lvlJc w:val="left"/>
      <w:pPr>
        <w:ind w:left="4680" w:hanging="360"/>
      </w:pPr>
      <w:rPr>
        <w:rFonts w:ascii="Wingdings" w:hAnsi="Wingdings" w:cs="Wingdings" w:eastAsia="Wingdings" w:hint="default"/>
      </w:rPr>
    </w:lvl>
    <w:lvl w:ilvl="6">
      <w:start w:val="1"/>
      <w:numFmt w:val="bullet"/>
      <w:isLgl w:val="false"/>
      <w:suff w:val="tab"/>
      <w:lvlText w:val=""/>
      <w:lvlJc w:val="left"/>
      <w:pPr>
        <w:ind w:left="5400" w:hanging="360"/>
      </w:pPr>
      <w:rPr>
        <w:rFonts w:ascii="Symbol" w:hAnsi="Symbol" w:cs="Symbol" w:eastAsia="Symbol" w:hint="default"/>
      </w:rPr>
    </w:lvl>
    <w:lvl w:ilvl="7">
      <w:start w:val="1"/>
      <w:numFmt w:val="bullet"/>
      <w:isLgl w:val="false"/>
      <w:suff w:val="tab"/>
      <w:lvlText w:val="o"/>
      <w:lvlJc w:val="left"/>
      <w:pPr>
        <w:ind w:left="6120" w:hanging="360"/>
      </w:pPr>
      <w:rPr>
        <w:rFonts w:ascii="Courier New" w:hAnsi="Courier New" w:cs="Courier New" w:eastAsia="Courier New" w:hint="default"/>
      </w:rPr>
    </w:lvl>
    <w:lvl w:ilvl="8">
      <w:start w:val="1"/>
      <w:numFmt w:val="bullet"/>
      <w:isLgl w:val="false"/>
      <w:suff w:val="tab"/>
      <w:lvlText w:val=""/>
      <w:lvlJc w:val="left"/>
      <w:pPr>
        <w:ind w:left="6840" w:hanging="360"/>
      </w:pPr>
      <w:rPr>
        <w:rFonts w:ascii="Wingdings" w:hAnsi="Wingdings" w:cs="Wingdings" w:eastAsia="Wingdings" w:hint="default"/>
      </w:r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36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36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Mangal" w:eastAsia="SimSun" w:hint="default"/>
        <w:sz w:val="24"/>
        <w:szCs w:val="24"/>
        <w:lang w:val="it-IT" w:bidi="hi-IN"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
    <w:name w:val="Normal"/>
    <w:qFormat/>
  </w:style>
  <w:style w:type="character" w:styleId="9">
    <w:name w:val="Default Paragraph Font"/>
    <w:uiPriority w:val="1"/>
    <w:semiHidden/>
    <w:unhideWhenUsed/>
  </w:style>
  <w:style w:type="numbering" w:styleId="10">
    <w:name w:val="No List"/>
    <w:uiPriority w:val="99"/>
    <w:semiHidden/>
    <w:unhideWhenUsed/>
  </w:style>
  <w:style w:type="paragraph" w:styleId="11">
    <w:name w:val="Heading 1"/>
    <w:basedOn w:val="8"/>
    <w:next w:val="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8"/>
    <w:next w:val="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8"/>
    <w:next w:val="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8"/>
    <w:next w:val="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8"/>
    <w:next w:val="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8"/>
    <w:next w:val="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8"/>
    <w:next w:val="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8"/>
    <w:next w:val="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8"/>
    <w:next w:val="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8"/>
    <w:uiPriority w:val="34"/>
    <w:qFormat/>
    <w:pPr>
      <w:contextualSpacing/>
      <w:ind w:left="720"/>
    </w:pPr>
  </w:style>
  <w:style w:type="table" w:styleId="30">
    <w:name w:val="Normal Table"/>
    <w:uiPriority w:val="99"/>
    <w:semiHidden/>
    <w:unhideWhenUsed/>
    <w:tblPr>
      <w:tblInd w:w="0" w:type="dxa"/>
      <w:tblCellMar>
        <w:left w:w="108" w:type="dxa"/>
        <w:top w:w="0" w:type="dxa"/>
        <w:right w:w="108" w:type="dxa"/>
        <w:bottom w:w="0" w:type="dxa"/>
      </w:tblCellMar>
    </w:tblPr>
  </w:style>
  <w:style w:type="paragraph" w:styleId="31">
    <w:name w:val="No Spacing"/>
    <w:uiPriority w:val="1"/>
    <w:qFormat/>
    <w:pPr>
      <w:spacing w:before="0" w:after="0" w:line="240" w:lineRule="auto"/>
    </w:pPr>
  </w:style>
  <w:style w:type="paragraph" w:styleId="32">
    <w:name w:val="Title"/>
    <w:basedOn w:val="8"/>
    <w:next w:val="8"/>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8"/>
    <w:next w:val="8"/>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8"/>
    <w:next w:val="8"/>
    <w:link w:val="37"/>
    <w:uiPriority w:val="29"/>
    <w:qFormat/>
    <w:pPr>
      <w:ind w:left="720" w:right="720"/>
    </w:pPr>
    <w:rPr>
      <w:i/>
    </w:rPr>
  </w:style>
  <w:style w:type="character" w:styleId="37">
    <w:name w:val="Quote Char"/>
    <w:link w:val="36"/>
    <w:uiPriority w:val="29"/>
    <w:rPr>
      <w:i/>
    </w:rPr>
  </w:style>
  <w:style w:type="paragraph" w:styleId="38">
    <w:name w:val="Intense Quote"/>
    <w:basedOn w:val="8"/>
    <w:next w:val="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8"/>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8"/>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8"/>
    <w:next w:val="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8"/>
    <w:next w:val="8"/>
    <w:uiPriority w:val="39"/>
    <w:unhideWhenUsed/>
    <w:pPr>
      <w:ind w:left="0" w:right="0" w:firstLine="0"/>
      <w:spacing w:after="57"/>
    </w:pPr>
  </w:style>
  <w:style w:type="paragraph" w:styleId="180">
    <w:name w:val="toc 2"/>
    <w:basedOn w:val="8"/>
    <w:next w:val="8"/>
    <w:uiPriority w:val="39"/>
    <w:unhideWhenUsed/>
    <w:pPr>
      <w:ind w:left="283" w:right="0" w:firstLine="0"/>
      <w:spacing w:after="57"/>
    </w:pPr>
  </w:style>
  <w:style w:type="paragraph" w:styleId="181">
    <w:name w:val="toc 3"/>
    <w:basedOn w:val="8"/>
    <w:next w:val="8"/>
    <w:uiPriority w:val="39"/>
    <w:unhideWhenUsed/>
    <w:pPr>
      <w:ind w:left="567" w:right="0" w:firstLine="0"/>
      <w:spacing w:after="57"/>
    </w:pPr>
  </w:style>
  <w:style w:type="paragraph" w:styleId="182">
    <w:name w:val="toc 4"/>
    <w:basedOn w:val="8"/>
    <w:next w:val="8"/>
    <w:uiPriority w:val="39"/>
    <w:unhideWhenUsed/>
    <w:pPr>
      <w:ind w:left="850" w:right="0" w:firstLine="0"/>
      <w:spacing w:after="57"/>
    </w:pPr>
  </w:style>
  <w:style w:type="paragraph" w:styleId="183">
    <w:name w:val="toc 5"/>
    <w:basedOn w:val="8"/>
    <w:next w:val="8"/>
    <w:uiPriority w:val="39"/>
    <w:unhideWhenUsed/>
    <w:pPr>
      <w:ind w:left="1134" w:right="0" w:firstLine="0"/>
      <w:spacing w:after="57"/>
    </w:pPr>
  </w:style>
  <w:style w:type="paragraph" w:styleId="184">
    <w:name w:val="toc 6"/>
    <w:basedOn w:val="8"/>
    <w:next w:val="8"/>
    <w:uiPriority w:val="39"/>
    <w:unhideWhenUsed/>
    <w:pPr>
      <w:ind w:left="1417" w:right="0" w:firstLine="0"/>
      <w:spacing w:after="57"/>
    </w:pPr>
  </w:style>
  <w:style w:type="paragraph" w:styleId="185">
    <w:name w:val="toc 7"/>
    <w:basedOn w:val="8"/>
    <w:next w:val="8"/>
    <w:uiPriority w:val="39"/>
    <w:unhideWhenUsed/>
    <w:pPr>
      <w:ind w:left="1701" w:right="0" w:firstLine="0"/>
      <w:spacing w:after="57"/>
    </w:pPr>
  </w:style>
  <w:style w:type="paragraph" w:styleId="186">
    <w:name w:val="toc 8"/>
    <w:basedOn w:val="8"/>
    <w:next w:val="8"/>
    <w:uiPriority w:val="39"/>
    <w:unhideWhenUsed/>
    <w:pPr>
      <w:ind w:left="1984" w:right="0" w:firstLine="0"/>
      <w:spacing w:after="57"/>
    </w:pPr>
  </w:style>
  <w:style w:type="paragraph" w:styleId="187">
    <w:name w:val="toc 9"/>
    <w:basedOn w:val="8"/>
    <w:next w:val="8"/>
    <w:uiPriority w:val="39"/>
    <w:unhideWhenUsed/>
    <w:pPr>
      <w:ind w:left="2268" w:right="0" w:firstLine="0"/>
      <w:spacing w:after="57"/>
    </w:pPr>
  </w:style>
  <w:style w:type="paragraph" w:styleId="188">
    <w:name w:val="TOC Heading"/>
    <w:uiPriority w:val="39"/>
    <w:unhideWhenUsed/>
  </w:style>
  <w:style w:type="paragraph" w:styleId="189">
    <w:name w:val="table of figures"/>
    <w:basedOn w:val="8"/>
    <w:next w:val="8"/>
    <w:uiPriority w:val="99"/>
    <w:unhideWhenUsed/>
    <w:pPr>
      <w:spacing w:after="0" w:afterAutospacing="0"/>
    </w:pPr>
  </w:style>
  <w:style w:type="paragraph" w:styleId="737">
    <w:name w:val="Header 542e2160f5d02f3ddf90bd7162bbefcc"/>
    <w:basedOn w:val="752"/>
    <w:link w:val="738"/>
    <w:uiPriority w:val="99"/>
    <w:unhideWhenUsed/>
    <w:pPr>
      <w:spacing w:after="0" w:line="240" w:lineRule="auto"/>
      <w:tabs>
        <w:tab w:val="center" w:pos="7143" w:leader="none"/>
        <w:tab w:val="right" w:pos="14287" w:leader="none"/>
      </w:tabs>
    </w:pPr>
  </w:style>
  <w:style w:type="character" w:styleId="738">
    <w:name w:val="Header Char 542e2160f5d02f3ddf90bd7162bbefcc"/>
    <w:link w:val="737"/>
    <w:uiPriority w:val="99"/>
  </w:style>
  <w:style w:type="paragraph" w:styleId="739">
    <w:name w:val="Footer 542e2160f5d02f3ddf90bd7162bbefcc"/>
    <w:basedOn w:val="752"/>
    <w:link w:val="741"/>
    <w:uiPriority w:val="99"/>
    <w:unhideWhenUsed/>
    <w:pPr>
      <w:spacing w:after="0" w:line="240" w:lineRule="auto"/>
      <w:tabs>
        <w:tab w:val="center" w:pos="7143" w:leader="none"/>
        <w:tab w:val="right" w:pos="14287" w:leader="none"/>
      </w:tabs>
    </w:pPr>
  </w:style>
  <w:style w:type="character" w:styleId="740">
    <w:name w:val="Footer Char 542e2160f5d02f3ddf90bd7162bbefcc"/>
    <w:link w:val="739"/>
    <w:uiPriority w:val="99"/>
  </w:style>
  <w:style w:type="character" w:styleId="741">
    <w:name w:val="Caption Char 542e2160f5d02f3ddf90bd7162bbefcc"/>
    <w:link w:val="739"/>
    <w:uiPriority w:val="99"/>
  </w:style>
  <w:style w:type="character" w:styleId="742">
    <w:name w:val="Hyperlink 542e2160f5d02f3ddf90bd7162bbefcc"/>
    <w:uiPriority w:val="99"/>
    <w:unhideWhenUsed/>
    <w:rPr>
      <w:color w:val="0000FF" w:themeColor="hyperlink"/>
      <w:u w:val="single"/>
    </w:rPr>
  </w:style>
  <w:style w:type="paragraph" w:styleId="743">
    <w:name w:val="toc 1 542e2160f5d02f3ddf90bd7162bbefcc"/>
    <w:basedOn w:val="752"/>
    <w:uiPriority w:val="39"/>
    <w:unhideWhenUsed/>
    <w:pPr>
      <w:ind w:left="0" w:right="0" w:firstLine="0"/>
      <w:spacing w:after="57"/>
    </w:pPr>
  </w:style>
  <w:style w:type="paragraph" w:styleId="744">
    <w:name w:val="toc 2 542e2160f5d02f3ddf90bd7162bbefcc"/>
    <w:basedOn w:val="752"/>
    <w:uiPriority w:val="39"/>
    <w:unhideWhenUsed/>
    <w:pPr>
      <w:ind w:left="283" w:right="0" w:firstLine="0"/>
      <w:spacing w:after="57"/>
    </w:pPr>
  </w:style>
  <w:style w:type="paragraph" w:styleId="745">
    <w:name w:val="toc 3 542e2160f5d02f3ddf90bd7162bbefcc"/>
    <w:basedOn w:val="752"/>
    <w:uiPriority w:val="39"/>
    <w:unhideWhenUsed/>
    <w:pPr>
      <w:ind w:left="567" w:right="0" w:firstLine="0"/>
      <w:spacing w:after="57"/>
    </w:pPr>
  </w:style>
  <w:style w:type="paragraph" w:styleId="746">
    <w:name w:val="toc 4 542e2160f5d02f3ddf90bd7162bbefcc"/>
    <w:basedOn w:val="752"/>
    <w:uiPriority w:val="39"/>
    <w:unhideWhenUsed/>
    <w:pPr>
      <w:ind w:left="850" w:right="0" w:firstLine="0"/>
      <w:spacing w:after="57"/>
    </w:pPr>
  </w:style>
  <w:style w:type="paragraph" w:styleId="747">
    <w:name w:val="toc 5 542e2160f5d02f3ddf90bd7162bbefcc"/>
    <w:basedOn w:val="752"/>
    <w:uiPriority w:val="39"/>
    <w:unhideWhenUsed/>
    <w:pPr>
      <w:ind w:left="1134" w:right="0" w:firstLine="0"/>
      <w:spacing w:after="57"/>
    </w:pPr>
  </w:style>
  <w:style w:type="paragraph" w:styleId="748">
    <w:name w:val="toc 6 542e2160f5d02f3ddf90bd7162bbefcc"/>
    <w:basedOn w:val="752"/>
    <w:uiPriority w:val="39"/>
    <w:unhideWhenUsed/>
    <w:pPr>
      <w:ind w:left="1417" w:right="0" w:firstLine="0"/>
      <w:spacing w:after="57"/>
    </w:pPr>
  </w:style>
  <w:style w:type="paragraph" w:styleId="749">
    <w:name w:val="toc 7 542e2160f5d02f3ddf90bd7162bbefcc"/>
    <w:basedOn w:val="752"/>
    <w:uiPriority w:val="39"/>
    <w:unhideWhenUsed/>
    <w:pPr>
      <w:ind w:left="1701" w:right="0" w:firstLine="0"/>
      <w:spacing w:after="57"/>
    </w:pPr>
  </w:style>
  <w:style w:type="paragraph" w:styleId="750">
    <w:name w:val="toc 8 542e2160f5d02f3ddf90bd7162bbefcc"/>
    <w:basedOn w:val="752"/>
    <w:uiPriority w:val="39"/>
    <w:unhideWhenUsed/>
    <w:pPr>
      <w:ind w:left="1984" w:right="0" w:firstLine="0"/>
      <w:spacing w:after="57"/>
    </w:pPr>
  </w:style>
  <w:style w:type="paragraph" w:styleId="751">
    <w:name w:val="toc 9 542e2160f5d02f3ddf90bd7162bbefcc"/>
    <w:basedOn w:val="752"/>
    <w:uiPriority w:val="39"/>
    <w:unhideWhenUsed/>
    <w:pPr>
      <w:ind w:left="2268" w:right="0" w:firstLine="0"/>
      <w:spacing w:after="57"/>
    </w:pPr>
  </w:style>
  <w:style w:type="paragraph" w:styleId="752" w:default="1">
    <w:name w:val="Normal 542e2160f5d02f3ddf90bd7162bbefcc"/>
    <w:qFormat/>
    <w:pPr>
      <w:widowControl w:val="off"/>
    </w:pPr>
    <w:rPr>
      <w:rFonts w:ascii="Liberation Serif" w:hAnsi="Liberation Serif" w:cs="Mangal" w:eastAsia="SimSun"/>
      <w:color w:val="auto"/>
      <w:sz w:val="24"/>
      <w:szCs w:val="24"/>
      <w:lang w:val="it-IT" w:bidi="hi-IN" w:eastAsia="zh-CN"/>
    </w:rPr>
  </w:style>
  <w:style w:type="character" w:styleId="753" w:default="1">
    <w:name w:val="Default Paragraph Font 542e2160f5d02f3ddf90bd7162bbefcc"/>
    <w:uiPriority w:val="1"/>
    <w:semiHidden/>
    <w:unhideWhenUsed/>
  </w:style>
  <w:style w:type="numbering" w:styleId="754" w:default="1">
    <w:name w:val="No List 542e2160f5d02f3ddf90bd7162bbefcc"/>
    <w:uiPriority w:val="99"/>
    <w:semiHidden/>
    <w:unhideWhenUsed/>
  </w:style>
  <w:style w:type="table" w:styleId="755" w:default="1">
    <w:name w:val="Normal Table 542e2160f5d02f3ddf90bd7162bbefcc"/>
    <w:uiPriority w:val="99"/>
    <w:semiHidden/>
    <w:unhideWhenUsed/>
    <w:tblPr/>
  </w:style>
  <w:style w:type="character" w:styleId="756">
    <w:name w:val="Hyperlink 3ff4f5baece87151ec05c6134cbf27fb"/>
    <w:uiPriority w:val="99"/>
    <w:unhideWhenUsed/>
    <w:rPr>
      <w:color w:val="0000FF" w:themeColor="hyperlink"/>
      <w:u w:val="single"/>
    </w:rPr>
  </w:style>
  <w:style w:type="paragraph" w:styleId="757">
    <w:name w:val="toc 1 3ff4f5baece87151ec05c6134cbf27fb"/>
    <w:basedOn w:val="766"/>
    <w:uiPriority w:val="39"/>
    <w:unhideWhenUsed/>
    <w:pPr>
      <w:ind w:left="0" w:right="0" w:firstLine="0"/>
      <w:spacing w:after="57"/>
    </w:pPr>
  </w:style>
  <w:style w:type="paragraph" w:styleId="758">
    <w:name w:val="toc 2 3ff4f5baece87151ec05c6134cbf27fb"/>
    <w:basedOn w:val="766"/>
    <w:uiPriority w:val="39"/>
    <w:unhideWhenUsed/>
    <w:pPr>
      <w:ind w:left="283" w:right="0" w:firstLine="0"/>
      <w:spacing w:after="57"/>
    </w:pPr>
  </w:style>
  <w:style w:type="paragraph" w:styleId="759">
    <w:name w:val="toc 3 3ff4f5baece87151ec05c6134cbf27fb"/>
    <w:basedOn w:val="766"/>
    <w:uiPriority w:val="39"/>
    <w:unhideWhenUsed/>
    <w:pPr>
      <w:ind w:left="567" w:right="0" w:firstLine="0"/>
      <w:spacing w:after="57"/>
    </w:pPr>
  </w:style>
  <w:style w:type="paragraph" w:styleId="760">
    <w:name w:val="toc 4 3ff4f5baece87151ec05c6134cbf27fb"/>
    <w:basedOn w:val="766"/>
    <w:uiPriority w:val="39"/>
    <w:unhideWhenUsed/>
    <w:pPr>
      <w:ind w:left="850" w:right="0" w:firstLine="0"/>
      <w:spacing w:after="57"/>
    </w:pPr>
  </w:style>
  <w:style w:type="paragraph" w:styleId="761">
    <w:name w:val="toc 5 3ff4f5baece87151ec05c6134cbf27fb"/>
    <w:basedOn w:val="766"/>
    <w:uiPriority w:val="39"/>
    <w:unhideWhenUsed/>
    <w:pPr>
      <w:ind w:left="1134" w:right="0" w:firstLine="0"/>
      <w:spacing w:after="57"/>
    </w:pPr>
  </w:style>
  <w:style w:type="paragraph" w:styleId="762">
    <w:name w:val="toc 6 3ff4f5baece87151ec05c6134cbf27fb"/>
    <w:basedOn w:val="766"/>
    <w:uiPriority w:val="39"/>
    <w:unhideWhenUsed/>
    <w:pPr>
      <w:ind w:left="1417" w:right="0" w:firstLine="0"/>
      <w:spacing w:after="57"/>
    </w:pPr>
  </w:style>
  <w:style w:type="paragraph" w:styleId="763">
    <w:name w:val="toc 7 3ff4f5baece87151ec05c6134cbf27fb"/>
    <w:basedOn w:val="766"/>
    <w:uiPriority w:val="39"/>
    <w:unhideWhenUsed/>
    <w:pPr>
      <w:ind w:left="1701" w:right="0" w:firstLine="0"/>
      <w:spacing w:after="57"/>
    </w:pPr>
  </w:style>
  <w:style w:type="paragraph" w:styleId="764">
    <w:name w:val="toc 8 3ff4f5baece87151ec05c6134cbf27fb"/>
    <w:basedOn w:val="766"/>
    <w:uiPriority w:val="39"/>
    <w:unhideWhenUsed/>
    <w:pPr>
      <w:ind w:left="1984" w:right="0" w:firstLine="0"/>
      <w:spacing w:after="57"/>
    </w:pPr>
  </w:style>
  <w:style w:type="paragraph" w:styleId="765">
    <w:name w:val="toc 9 3ff4f5baece87151ec05c6134cbf27fb"/>
    <w:basedOn w:val="766"/>
    <w:uiPriority w:val="39"/>
    <w:unhideWhenUsed/>
    <w:pPr>
      <w:ind w:left="2268" w:right="0" w:firstLine="0"/>
      <w:spacing w:after="57"/>
    </w:pPr>
  </w:style>
  <w:style w:type="paragraph" w:styleId="766">
    <w:name w:val="Normal 3ff4f5baece87151ec05c6134cbf27fb"/>
    <w:pPr>
      <w:widowControl w:val="off"/>
    </w:pPr>
    <w:rPr>
      <w:rFonts w:ascii="Liberation Serif" w:hAnsi="Liberation Serif" w:cs="Mangal" w:eastAsia="SimSun"/>
      <w:color w:val="auto"/>
      <w:sz w:val="24"/>
      <w:szCs w:val="24"/>
      <w:lang w:val="it-IT" w:bidi="hi-IN" w:eastAsia="zh-CN"/>
    </w:rPr>
  </w:style>
  <w:style w:type="character" w:styleId="767">
    <w:name w:val="Default Paragraph Font 3ff4f5baece87151ec05c6134cbf27fb"/>
    <w:uiPriority w:val="1"/>
    <w:semiHidden/>
    <w:unhideWhenUsed/>
  </w:style>
  <w:style w:type="numbering" w:styleId="768">
    <w:name w:val="No List 3ff4f5baece87151ec05c6134cbf27fb"/>
    <w:uiPriority w:val="99"/>
    <w:semiHidden/>
    <w:unhideWhenUsed/>
  </w:style>
  <w:style w:type="table" w:styleId="769">
    <w:name w:val="Normal Table 3ff4f5baece87151ec05c6134cbf27fb"/>
    <w:uiPriority w:val="99"/>
    <w:semiHidden/>
    <w:unhideWhenUsed/>
    <w:tblPr/>
  </w:style>
  <w:style w:type="character" w:styleId="770">
    <w:name w:val="Hyperlink fc9c91ff04857b067443f22fbbbe6045"/>
    <w:uiPriority w:val="99"/>
    <w:unhideWhenUsed/>
    <w:rPr>
      <w:color w:val="0000FF" w:themeColor="hyperlink"/>
      <w:u w:val="single"/>
    </w:rPr>
  </w:style>
  <w:style w:type="paragraph" w:styleId="771">
    <w:name w:val="toc 1 fc9c91ff04857b067443f22fbbbe6045"/>
    <w:basedOn w:val="780"/>
    <w:uiPriority w:val="39"/>
    <w:unhideWhenUsed/>
    <w:pPr>
      <w:ind w:left="0" w:right="0" w:firstLine="0"/>
      <w:spacing w:after="57"/>
    </w:pPr>
  </w:style>
  <w:style w:type="paragraph" w:styleId="772">
    <w:name w:val="toc 2 fc9c91ff04857b067443f22fbbbe6045"/>
    <w:basedOn w:val="780"/>
    <w:uiPriority w:val="39"/>
    <w:unhideWhenUsed/>
    <w:pPr>
      <w:ind w:left="283" w:right="0" w:firstLine="0"/>
      <w:spacing w:after="57"/>
    </w:pPr>
  </w:style>
  <w:style w:type="paragraph" w:styleId="773">
    <w:name w:val="toc 3 fc9c91ff04857b067443f22fbbbe6045"/>
    <w:basedOn w:val="780"/>
    <w:uiPriority w:val="39"/>
    <w:unhideWhenUsed/>
    <w:pPr>
      <w:ind w:left="567" w:right="0" w:firstLine="0"/>
      <w:spacing w:after="57"/>
    </w:pPr>
  </w:style>
  <w:style w:type="paragraph" w:styleId="774">
    <w:name w:val="toc 4 fc9c91ff04857b067443f22fbbbe6045"/>
    <w:basedOn w:val="780"/>
    <w:uiPriority w:val="39"/>
    <w:unhideWhenUsed/>
    <w:pPr>
      <w:ind w:left="850" w:right="0" w:firstLine="0"/>
      <w:spacing w:after="57"/>
    </w:pPr>
  </w:style>
  <w:style w:type="paragraph" w:styleId="775">
    <w:name w:val="toc 5 fc9c91ff04857b067443f22fbbbe6045"/>
    <w:basedOn w:val="780"/>
    <w:uiPriority w:val="39"/>
    <w:unhideWhenUsed/>
    <w:pPr>
      <w:ind w:left="1134" w:right="0" w:firstLine="0"/>
      <w:spacing w:after="57"/>
    </w:pPr>
  </w:style>
  <w:style w:type="paragraph" w:styleId="776">
    <w:name w:val="toc 6 fc9c91ff04857b067443f22fbbbe6045"/>
    <w:basedOn w:val="780"/>
    <w:uiPriority w:val="39"/>
    <w:unhideWhenUsed/>
    <w:pPr>
      <w:ind w:left="1417" w:right="0" w:firstLine="0"/>
      <w:spacing w:after="57"/>
    </w:pPr>
  </w:style>
  <w:style w:type="paragraph" w:styleId="777">
    <w:name w:val="toc 7 fc9c91ff04857b067443f22fbbbe6045"/>
    <w:basedOn w:val="780"/>
    <w:uiPriority w:val="39"/>
    <w:unhideWhenUsed/>
    <w:pPr>
      <w:ind w:left="1701" w:right="0" w:firstLine="0"/>
      <w:spacing w:after="57"/>
    </w:pPr>
  </w:style>
  <w:style w:type="paragraph" w:styleId="778">
    <w:name w:val="toc 8 fc9c91ff04857b067443f22fbbbe6045"/>
    <w:basedOn w:val="780"/>
    <w:uiPriority w:val="39"/>
    <w:unhideWhenUsed/>
    <w:pPr>
      <w:ind w:left="1984" w:right="0" w:firstLine="0"/>
      <w:spacing w:after="57"/>
    </w:pPr>
  </w:style>
  <w:style w:type="paragraph" w:styleId="779">
    <w:name w:val="toc 9 fc9c91ff04857b067443f22fbbbe6045"/>
    <w:basedOn w:val="780"/>
    <w:uiPriority w:val="39"/>
    <w:unhideWhenUsed/>
    <w:pPr>
      <w:ind w:left="2268" w:right="0" w:firstLine="0"/>
      <w:spacing w:after="57"/>
    </w:pPr>
  </w:style>
  <w:style w:type="paragraph" w:styleId="780">
    <w:name w:val="Normal fc9c91ff04857b067443f22fbbbe6045"/>
    <w:pPr>
      <w:widowControl w:val="off"/>
    </w:pPr>
    <w:rPr>
      <w:rFonts w:ascii="Liberation Serif" w:hAnsi="Liberation Serif" w:cs="Mangal" w:eastAsia="SimSun"/>
      <w:color w:val="auto"/>
      <w:sz w:val="24"/>
      <w:szCs w:val="24"/>
      <w:lang w:val="it-IT" w:bidi="hi-IN" w:eastAsia="zh-CN"/>
    </w:rPr>
  </w:style>
  <w:style w:type="character" w:styleId="781">
    <w:name w:val="Default Paragraph Font fc9c91ff04857b067443f22fbbbe6045"/>
    <w:uiPriority w:val="1"/>
    <w:semiHidden/>
    <w:unhideWhenUsed/>
  </w:style>
  <w:style w:type="numbering" w:styleId="782">
    <w:name w:val="No List fc9c91ff04857b067443f22fbbbe6045"/>
    <w:uiPriority w:val="99"/>
    <w:semiHidden/>
    <w:unhideWhenUsed/>
  </w:style>
  <w:style w:type="table" w:styleId="783">
    <w:name w:val="Normal Table fc9c91ff04857b067443f22fbbbe6045"/>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ModifiedBy>s.burghiani</cp:lastModifiedBy>
  <cp:revision>16</cp:revision>
  <dcterms:created xsi:type="dcterms:W3CDTF">2016-01-21T15:36:37Z</dcterms:created>
  <dcterms:modified xsi:type="dcterms:W3CDTF">2026-05-15T09:18:39Z</dcterms:modified>
</cp:coreProperties>
</file>