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303 del </w:t>
      </w:r>
      <w:r>
        <w:rPr>
          <w:rFonts w:ascii="Arial" w:hAnsi="Arial" w:cs="Arial" w:eastAsia="Arial"/>
          <w:b/>
          <w:sz w:val="24"/>
          <w:lang w:eastAsia="it-IT"/>
        </w:rPr>
        <w:t xml:space="preserve">17/03/2026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DIFFERIMENTO DEI TERMINI DI PAGAMENTO DELLE TARIFFE ANNO 2026 CANONE UNICO PATRIMONIALE</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60"/>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pStyle w:val="746"/>
        <w:jc w:val="center"/>
        <w:rPr>
          <w:rFonts w:ascii="Arial" w:hAnsi="Arial" w:cs="Arial" w:eastAsia="Arial"/>
          <w:b/>
          <w:bCs/>
          <w:sz w:val="24"/>
          <w:szCs w:val="24"/>
          <w:highlight w:val="none"/>
        </w:rPr>
      </w:pPr>
      <w:r>
        <w:rPr>
          <w:rFonts w:ascii="Arial" w:hAnsi="Arial" w:cs="Arial" w:eastAsia="Arial"/>
          <w:b/>
          <w:sz w:val="24"/>
        </w:rPr>
        <w:t xml:space="preserve">IL CONSIGLIO COMUNALE</w:t>
      </w:r>
      <w:r>
        <w:rPr>
          <w:rFonts w:ascii="Arial" w:hAnsi="Arial" w:cs="Arial" w:eastAsia="Arial"/>
          <w:b/>
          <w:bCs/>
          <w:sz w:val="24"/>
          <w:szCs w:val="24"/>
          <w:highlight w:val="none"/>
        </w:rPr>
      </w:r>
      <w:r/>
    </w:p>
    <w:p>
      <w:pPr>
        <w:jc w:val="left"/>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ind w:left="133" w:right="169"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e integralmente richiamata la deliberazione del Consiglio Comunale n. 11 del 12.04.2021, recante l’approvazione del Regolamento per l’istituzione e la disciplina del Canone patrimoniale di concessione, autorizzazione o esposizione pubblicitaria, nonc</w:t>
      </w:r>
      <w:r>
        <w:rPr>
          <w:rFonts w:ascii="Times New Roman" w:hAnsi="Times New Roman" w:cs="Times New Roman" w:eastAsia="Times New Roman"/>
          <w:color w:val="000000"/>
          <w:sz w:val="24"/>
        </w:rPr>
        <w:t xml:space="preserve">hé di concessione per l’occupazione delle aree pubbliche destinate a mercati del Comune di Osimo;</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133" w:right="172"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 deliberazione del Consiglio Comunale n. 18 del 29.04.2022, con la quale sono state apportate modificazioni al vigente Regolamento del canone patrimoniale di concessione, autorizzazione o esposizione pubblicitaria;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133"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 deliberazione di Giunta Municipale n. 122 del 27.11.2025, con la quale sono state approvate le tariffe per l’applicazione del canone unico patrimoniale per l’esercizio 2026;</w:t>
      </w:r>
      <w:r/>
    </w:p>
    <w:p>
      <w:pPr>
        <w:ind w:left="214" w:right="13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133"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RICHIAMATO l’articolo 12 del predetto Regolamento del canone patrimoniale di concessione, autorizzazione o esposizione pubblicitaria, che disciplina i termini di versamento ed in particolare i commi 2 e 3, i quali prevedono il versamento del canone entro i</w:t>
      </w:r>
      <w:r>
        <w:rPr>
          <w:rFonts w:ascii="Times New Roman" w:hAnsi="Times New Roman" w:cs="Times New Roman" w:eastAsia="Times New Roman"/>
          <w:color w:val="000000"/>
          <w:sz w:val="24"/>
        </w:rPr>
        <w:t xml:space="preserve">l 31 marzo di ogni anno con possibilità di differimento, ai sensi del comma 12, in caso di gravi calamità naturali e altri eventi di natura straordinaria ed eccezionale; </w:t>
      </w:r>
      <w:r/>
    </w:p>
    <w:p>
      <w:pPr>
        <w:ind w:left="133"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133"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w:t>
      </w:r>
      <w:r/>
    </w:p>
    <w:p>
      <w:pPr>
        <w:ind w:left="133"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con delibera di Giunta Comunale n. 113 del 20/11/2025 di indirizzo per l’affidamento in concessione del servizio di gestione del Canone Unico Patrimoniale, delle lampade votive e del servizio di riscossione coattiva IMU e TARI relativamente all’anno 2026</w:t>
      </w:r>
      <w:r>
        <w:rPr>
          <w:rFonts w:ascii="Times New Roman" w:hAnsi="Times New Roman" w:cs="Times New Roman" w:eastAsia="Times New Roman"/>
          <w:color w:val="000000"/>
          <w:sz w:val="24"/>
        </w:rPr>
        <w:t xml:space="preserve"> dell’intera gara tramite procedura aperta;</w:t>
      </w:r>
      <w:r/>
    </w:p>
    <w:p>
      <w:pPr>
        <w:ind w:left="133"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con deliberazione del Consiglio Comunale n. 81 del 29/12/2025 è stata deliberata la convenzione per l’adesione alla centrale di committenza dell’unione Montana Potenza Esino Musone per l’espletamento della gara di cui sopra;</w:t>
      </w:r>
      <w:r/>
    </w:p>
    <w:p>
      <w:pPr>
        <w:ind w:left="133"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165"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CONSIDERATA opportuna la posticipazione della scadenza del versamento annuale del  Cup per poter garantire al nuovo concessionario la gestione dell’intero anno visti i tempi per la conclusione della procedura di gara e l’affidamento del servizio;</w:t>
      </w:r>
      <w:r/>
    </w:p>
    <w:p>
      <w:pPr>
        <w:ind w:left="0" w:right="165" w:firstLine="0"/>
        <w:jc w:val="both"/>
        <w:spacing w:before="0" w:after="0"/>
        <w:pBdr>
          <w:top w:val="none" w:color="000000" w:sz="4" w:space="0"/>
          <w:left w:val="none" w:color="000000" w:sz="4" w:space="0"/>
          <w:bottom w:val="none" w:color="000000" w:sz="4" w:space="0"/>
          <w:right w:val="none" w:color="000000" w:sz="4" w:space="0"/>
        </w:pBdr>
      </w:pPr>
      <w:r/>
      <w:r/>
    </w:p>
    <w:p>
      <w:pPr>
        <w:ind w:left="0"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 deliberazione di Giunta Comunale n. 28 del 26/02/2026 nella quale si stabiliva di proporre al Consiglio Comunale di differire il termine di versamento del canone Unico patrimoniale;</w:t>
      </w:r>
      <w:r/>
    </w:p>
    <w:p>
      <w:pPr>
        <w:ind w:left="0"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RITEN</w:t>
      </w:r>
      <w:r>
        <w:rPr>
          <w:rFonts w:ascii="Times New Roman" w:hAnsi="Times New Roman" w:cs="Times New Roman" w:eastAsia="Times New Roman"/>
          <w:color w:val="000000"/>
          <w:sz w:val="24"/>
        </w:rPr>
        <w:t xml:space="preserve">UTO opportuno differire il termine di versamento del Canone Unico Patrimoniale dell’anno 2026, così come proposto dalla Giunta Comunale, dal 31 marzo al 31 luglio senza creare pregiudizio all’Ente in termini di accertamento di entrata così come previsto ne</w:t>
      </w:r>
      <w:r>
        <w:rPr>
          <w:rFonts w:ascii="Times New Roman" w:hAnsi="Times New Roman" w:cs="Times New Roman" w:eastAsia="Times New Roman"/>
          <w:color w:val="000000"/>
          <w:sz w:val="24"/>
        </w:rPr>
        <w:t xml:space="preserve">l bilancio di previsione 2026/2028;</w:t>
      </w:r>
      <w:r/>
    </w:p>
    <w:p>
      <w:pPr>
        <w:ind w:left="0"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165"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il Decreto Legislativo 18 agosto 2000, n. 267 (Testo Unico delle Leggi sull’ordinamento degli Enti Locali) e successive modifiche ed integrazioni;</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lo Statuto Comunale;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ACQUISITI i seguenti pareri, ai sensi dell’art. 49, comma 1, del D.Lgs. 18 agosto 2000, n. 267, allegati al presente atto: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Parere favorevole di regolarità tecnica e contabile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Dirigente del Dipartimento delle Finanze - Dott.ssa Anna Tiberi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voti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98"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w:t>
      </w:r>
      <w:r/>
    </w:p>
    <w:p>
      <w:pPr>
        <w:ind w:left="98"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 E L I B E R A</w:t>
      </w:r>
      <w:r/>
    </w:p>
    <w:p>
      <w:pPr>
        <w:ind w:left="98"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dare atto che le premesse sono parte integrante e sostanziali del presente atto;</w:t>
      </w:r>
      <w:r/>
    </w:p>
    <w:p>
      <w:pPr>
        <w:ind w:left="12" w:right="0" w:firstLine="0"/>
        <w:jc w:val="both"/>
        <w:spacing w:before="0" w:after="0"/>
        <w:tabs>
          <w:tab w:val="left" w:pos="2835"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2. </w:t>
      </w:r>
      <w:r>
        <w:rPr>
          <w:rFonts w:ascii="Times New Roman" w:hAnsi="Times New Roman" w:cs="Times New Roman" w:eastAsia="Times New Roman"/>
          <w:color w:val="000000"/>
          <w:sz w:val="24"/>
        </w:rPr>
        <w:t xml:space="preserve">Di prendere atto e ratificare la proposta di Giunta Comunale n. 28 del 26/02/2026 di </w:t>
      </w:r>
      <w:r>
        <w:rPr>
          <w:rFonts w:ascii="Times New Roman" w:hAnsi="Times New Roman" w:cs="Times New Roman" w:eastAsia="Times New Roman"/>
          <w:color w:val="000000"/>
          <w:sz w:val="24"/>
        </w:rPr>
        <w:t xml:space="preserve">differire il termine di versamento del Canone patrimoniale di concessione, autorizzazione o esposizione pubblicitaria ed occupazioni dell’anno 2026 al 31.07.2026;</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3. Di dare atto che il presente posticipo non crea pregiudizio all’Ente riguardo l’ammontare dell’accertamento di entrata definito nel bilancio di previsione 2026/2028;</w:t>
      </w:r>
      <w:r/>
    </w:p>
    <w:p>
      <w:pPr>
        <w:ind w:left="0" w:right="0" w:firstLine="0"/>
        <w:jc w:val="both"/>
        <w:spacing w:before="0" w:after="0"/>
        <w:pBdr>
          <w:top w:val="none" w:color="000000" w:sz="4" w:space="0"/>
          <w:left w:val="none" w:color="000000" w:sz="4" w:space="0"/>
          <w:bottom w:val="none" w:color="000000" w:sz="4" w:space="0"/>
          <w:right w:val="none" w:color="000000" w:sz="4" w:space="0"/>
        </w:pBdr>
      </w:p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Inoltre, stante l’urgenza di provvedere agli atti successivi, di dichiarare il presente atto immediatamente eseguibile </w:t>
      </w:r>
      <w:r/>
    </w:p>
    <w:p>
      <w:pPr>
        <w:ind w:left="7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4. Di dichiarare il presente atto immediatamente eseguibile, ai sensi dell’art. 134, comma 4, del D.Lgs. 18/08/2000 n. 267, mediante separata ed unanime votazione palese.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7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Arial" w:hAnsi="Arial" w:cs="Arial" w:eastAsia="Arial"/>
          <w:color w:val="000000"/>
          <w:sz w:val="24"/>
        </w:rPr>
        <w:t xml:space="preserve">Il presente verbale viene letto, approvato e sottoscritto.</w:t>
      </w:r>
      <w:r/>
    </w:p>
    <w:p>
      <w:pPr>
        <w:ind w:left="0" w:right="0" w:firstLine="0"/>
        <w:spacing w:before="0" w:after="0" w:line="64"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160" w:line="235" w:lineRule="atLeast"/>
        <w:pBdr>
          <w:top w:val="none" w:color="000000" w:sz="4" w:space="0"/>
          <w:left w:val="none" w:color="000000" w:sz="4" w:space="0"/>
          <w:bottom w:val="none" w:color="000000" w:sz="4" w:space="0"/>
          <w:right w:val="none" w:color="000000" w:sz="4" w:space="0"/>
        </w:pBdr>
      </w:pPr>
      <w:r>
        <w:rPr>
          <w:rFonts w:ascii="Calibri" w:hAnsi="Calibri" w:cs="Calibri" w:eastAsia="Calibri"/>
          <w:color w:val="000000"/>
          <w:sz w:val="22"/>
        </w:rPr>
        <w:t xml:space="preserve"> </w:t>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pPr>
      <w:r>
        <w:rPr>
          <w:rFonts w:ascii="Arial" w:hAnsi="Arial" w:cs="Arial" w:eastAsia="Arial"/>
          <w:b/>
          <w:sz w:val="24"/>
          <w:highlight w:val="none"/>
        </w:rPr>
      </w:r>
      <w:r>
        <w:rPr>
          <w:rFonts w:ascii="Arial" w:hAnsi="Arial" w:cs="Arial" w:eastAsia="Arial"/>
          <w:b/>
          <w:sz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left"/>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Arial">
    <w:panose1 w:val="020B0604020202020204"/>
  </w:font>
  <w:font w:name="SimSun">
    <w:panose1 w:val="02020603020101020101"/>
  </w:font>
  <w:font w:name="Mangal">
    <w:panose1 w:val="02020603050405020304"/>
  </w:font>
  <w:font w:name="Liberation Serif">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303 del 17/03/2026</w:t>
    </w:r>
    <w:r>
      <w:rPr>
        <w:rFonts w:ascii="Arial" w:hAnsi="Arial" w:cs="Arial" w:eastAsia="Arial"/>
        <w:color w:val="000000"/>
        <w:highlight w:val="none"/>
      </w:rPr>
    </w:r>
    <w:r/>
  </w:p>
  <w:p>
    <w:pPr>
      <w:pStyle w:val="733"/>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1"/>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74"/>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31">
    <w:name w:val="Header 78d9066f29a880e4cedf76b690741e2e"/>
    <w:basedOn w:val="746"/>
    <w:link w:val="732"/>
    <w:uiPriority w:val="99"/>
    <w:unhideWhenUsed/>
    <w:pPr>
      <w:spacing w:after="0" w:line="240" w:lineRule="auto"/>
      <w:tabs>
        <w:tab w:val="center" w:pos="7143" w:leader="none"/>
        <w:tab w:val="right" w:pos="14287" w:leader="none"/>
      </w:tabs>
    </w:pPr>
  </w:style>
  <w:style w:type="character" w:styleId="732">
    <w:name w:val="Header Char 78d9066f29a880e4cedf76b690741e2e"/>
    <w:link w:val="731"/>
    <w:uiPriority w:val="99"/>
  </w:style>
  <w:style w:type="paragraph" w:styleId="733">
    <w:name w:val="Footer 78d9066f29a880e4cedf76b690741e2e"/>
    <w:basedOn w:val="746"/>
    <w:link w:val="735"/>
    <w:uiPriority w:val="99"/>
    <w:unhideWhenUsed/>
    <w:pPr>
      <w:spacing w:after="0" w:line="240" w:lineRule="auto"/>
      <w:tabs>
        <w:tab w:val="center" w:pos="7143" w:leader="none"/>
        <w:tab w:val="right" w:pos="14287" w:leader="none"/>
      </w:tabs>
    </w:pPr>
  </w:style>
  <w:style w:type="character" w:styleId="734">
    <w:name w:val="Footer Char 78d9066f29a880e4cedf76b690741e2e"/>
    <w:link w:val="733"/>
    <w:uiPriority w:val="99"/>
  </w:style>
  <w:style w:type="character" w:styleId="735">
    <w:name w:val="Caption Char 78d9066f29a880e4cedf76b690741e2e"/>
    <w:link w:val="733"/>
    <w:uiPriority w:val="99"/>
  </w:style>
  <w:style w:type="character" w:styleId="736">
    <w:name w:val="Hyperlink 78d9066f29a880e4cedf76b690741e2e"/>
    <w:uiPriority w:val="99"/>
    <w:unhideWhenUsed/>
    <w:rPr>
      <w:color w:val="0000FF" w:themeColor="hyperlink"/>
      <w:u w:val="single"/>
    </w:rPr>
  </w:style>
  <w:style w:type="paragraph" w:styleId="737">
    <w:name w:val="toc 1 78d9066f29a880e4cedf76b690741e2e"/>
    <w:basedOn w:val="746"/>
    <w:uiPriority w:val="39"/>
    <w:unhideWhenUsed/>
    <w:pPr>
      <w:ind w:left="0" w:right="0" w:firstLine="0"/>
      <w:spacing w:after="57"/>
    </w:pPr>
  </w:style>
  <w:style w:type="paragraph" w:styleId="738">
    <w:name w:val="toc 2 78d9066f29a880e4cedf76b690741e2e"/>
    <w:basedOn w:val="746"/>
    <w:uiPriority w:val="39"/>
    <w:unhideWhenUsed/>
    <w:pPr>
      <w:ind w:left="283" w:right="0" w:firstLine="0"/>
      <w:spacing w:after="57"/>
    </w:pPr>
  </w:style>
  <w:style w:type="paragraph" w:styleId="739">
    <w:name w:val="toc 3 78d9066f29a880e4cedf76b690741e2e"/>
    <w:basedOn w:val="746"/>
    <w:uiPriority w:val="39"/>
    <w:unhideWhenUsed/>
    <w:pPr>
      <w:ind w:left="567" w:right="0" w:firstLine="0"/>
      <w:spacing w:after="57"/>
    </w:pPr>
  </w:style>
  <w:style w:type="paragraph" w:styleId="740">
    <w:name w:val="toc 4 78d9066f29a880e4cedf76b690741e2e"/>
    <w:basedOn w:val="746"/>
    <w:uiPriority w:val="39"/>
    <w:unhideWhenUsed/>
    <w:pPr>
      <w:ind w:left="850" w:right="0" w:firstLine="0"/>
      <w:spacing w:after="57"/>
    </w:pPr>
  </w:style>
  <w:style w:type="paragraph" w:styleId="741">
    <w:name w:val="toc 5 78d9066f29a880e4cedf76b690741e2e"/>
    <w:basedOn w:val="746"/>
    <w:uiPriority w:val="39"/>
    <w:unhideWhenUsed/>
    <w:pPr>
      <w:ind w:left="1134" w:right="0" w:firstLine="0"/>
      <w:spacing w:after="57"/>
    </w:pPr>
  </w:style>
  <w:style w:type="paragraph" w:styleId="742">
    <w:name w:val="toc 6 78d9066f29a880e4cedf76b690741e2e"/>
    <w:basedOn w:val="746"/>
    <w:uiPriority w:val="39"/>
    <w:unhideWhenUsed/>
    <w:pPr>
      <w:ind w:left="1417" w:right="0" w:firstLine="0"/>
      <w:spacing w:after="57"/>
    </w:pPr>
  </w:style>
  <w:style w:type="paragraph" w:styleId="743">
    <w:name w:val="toc 7 78d9066f29a880e4cedf76b690741e2e"/>
    <w:basedOn w:val="746"/>
    <w:uiPriority w:val="39"/>
    <w:unhideWhenUsed/>
    <w:pPr>
      <w:ind w:left="1701" w:right="0" w:firstLine="0"/>
      <w:spacing w:after="57"/>
    </w:pPr>
  </w:style>
  <w:style w:type="paragraph" w:styleId="744">
    <w:name w:val="toc 8 78d9066f29a880e4cedf76b690741e2e"/>
    <w:basedOn w:val="746"/>
    <w:uiPriority w:val="39"/>
    <w:unhideWhenUsed/>
    <w:pPr>
      <w:ind w:left="1984" w:right="0" w:firstLine="0"/>
      <w:spacing w:after="57"/>
    </w:pPr>
  </w:style>
  <w:style w:type="paragraph" w:styleId="745">
    <w:name w:val="toc 9 78d9066f29a880e4cedf76b690741e2e"/>
    <w:basedOn w:val="746"/>
    <w:uiPriority w:val="39"/>
    <w:unhideWhenUsed/>
    <w:pPr>
      <w:ind w:left="2268" w:right="0" w:firstLine="0"/>
      <w:spacing w:after="57"/>
    </w:pPr>
  </w:style>
  <w:style w:type="paragraph" w:styleId="746" w:default="1">
    <w:name w:val="Normal 78d9066f29a880e4cedf76b690741e2e"/>
    <w:qFormat/>
    <w:pPr>
      <w:widowControl w:val="off"/>
    </w:pPr>
    <w:rPr>
      <w:rFonts w:ascii="Liberation Serif" w:hAnsi="Liberation Serif" w:cs="Mangal" w:eastAsia="SimSun"/>
      <w:color w:val="auto"/>
      <w:sz w:val="24"/>
      <w:szCs w:val="24"/>
      <w:lang w:val="it-IT" w:bidi="hi-IN" w:eastAsia="zh-CN"/>
    </w:rPr>
  </w:style>
  <w:style w:type="character" w:styleId="747" w:default="1">
    <w:name w:val="Default Paragraph Font 78d9066f29a880e4cedf76b690741e2e"/>
    <w:uiPriority w:val="1"/>
    <w:semiHidden/>
    <w:unhideWhenUsed/>
  </w:style>
  <w:style w:type="numbering" w:styleId="748" w:default="1">
    <w:name w:val="No List 78d9066f29a880e4cedf76b690741e2e"/>
    <w:uiPriority w:val="99"/>
    <w:semiHidden/>
    <w:unhideWhenUsed/>
  </w:style>
  <w:style w:type="table" w:styleId="749" w:default="1">
    <w:name w:val="Normal Table 78d9066f29a880e4cedf76b690741e2e"/>
    <w:uiPriority w:val="99"/>
    <w:semiHidden/>
    <w:unhideWhenUsed/>
    <w:tblPr/>
  </w:style>
  <w:style w:type="character" w:styleId="750">
    <w:name w:val="Hyperlink ebb1b24d267abc9f3d8602b2a7ea114a"/>
    <w:uiPriority w:val="99"/>
    <w:unhideWhenUsed/>
    <w:rPr>
      <w:color w:val="0000FF" w:themeColor="hyperlink"/>
      <w:u w:val="single"/>
    </w:rPr>
  </w:style>
  <w:style w:type="paragraph" w:styleId="751">
    <w:name w:val="toc 1 ebb1b24d267abc9f3d8602b2a7ea114a"/>
    <w:basedOn w:val="760"/>
    <w:uiPriority w:val="39"/>
    <w:unhideWhenUsed/>
    <w:pPr>
      <w:ind w:left="0" w:right="0" w:firstLine="0"/>
      <w:spacing w:after="57"/>
    </w:pPr>
  </w:style>
  <w:style w:type="paragraph" w:styleId="752">
    <w:name w:val="toc 2 ebb1b24d267abc9f3d8602b2a7ea114a"/>
    <w:basedOn w:val="760"/>
    <w:uiPriority w:val="39"/>
    <w:unhideWhenUsed/>
    <w:pPr>
      <w:ind w:left="283" w:right="0" w:firstLine="0"/>
      <w:spacing w:after="57"/>
    </w:pPr>
  </w:style>
  <w:style w:type="paragraph" w:styleId="753">
    <w:name w:val="toc 3 ebb1b24d267abc9f3d8602b2a7ea114a"/>
    <w:basedOn w:val="760"/>
    <w:uiPriority w:val="39"/>
    <w:unhideWhenUsed/>
    <w:pPr>
      <w:ind w:left="567" w:right="0" w:firstLine="0"/>
      <w:spacing w:after="57"/>
    </w:pPr>
  </w:style>
  <w:style w:type="paragraph" w:styleId="754">
    <w:name w:val="toc 4 ebb1b24d267abc9f3d8602b2a7ea114a"/>
    <w:basedOn w:val="760"/>
    <w:uiPriority w:val="39"/>
    <w:unhideWhenUsed/>
    <w:pPr>
      <w:ind w:left="850" w:right="0" w:firstLine="0"/>
      <w:spacing w:after="57"/>
    </w:pPr>
  </w:style>
  <w:style w:type="paragraph" w:styleId="755">
    <w:name w:val="toc 5 ebb1b24d267abc9f3d8602b2a7ea114a"/>
    <w:basedOn w:val="760"/>
    <w:uiPriority w:val="39"/>
    <w:unhideWhenUsed/>
    <w:pPr>
      <w:ind w:left="1134" w:right="0" w:firstLine="0"/>
      <w:spacing w:after="57"/>
    </w:pPr>
  </w:style>
  <w:style w:type="paragraph" w:styleId="756">
    <w:name w:val="toc 6 ebb1b24d267abc9f3d8602b2a7ea114a"/>
    <w:basedOn w:val="760"/>
    <w:uiPriority w:val="39"/>
    <w:unhideWhenUsed/>
    <w:pPr>
      <w:ind w:left="1417" w:right="0" w:firstLine="0"/>
      <w:spacing w:after="57"/>
    </w:pPr>
  </w:style>
  <w:style w:type="paragraph" w:styleId="757">
    <w:name w:val="toc 7 ebb1b24d267abc9f3d8602b2a7ea114a"/>
    <w:basedOn w:val="760"/>
    <w:uiPriority w:val="39"/>
    <w:unhideWhenUsed/>
    <w:pPr>
      <w:ind w:left="1701" w:right="0" w:firstLine="0"/>
      <w:spacing w:after="57"/>
    </w:pPr>
  </w:style>
  <w:style w:type="paragraph" w:styleId="758">
    <w:name w:val="toc 8 ebb1b24d267abc9f3d8602b2a7ea114a"/>
    <w:basedOn w:val="760"/>
    <w:uiPriority w:val="39"/>
    <w:unhideWhenUsed/>
    <w:pPr>
      <w:ind w:left="1984" w:right="0" w:firstLine="0"/>
      <w:spacing w:after="57"/>
    </w:pPr>
  </w:style>
  <w:style w:type="paragraph" w:styleId="759">
    <w:name w:val="toc 9 ebb1b24d267abc9f3d8602b2a7ea114a"/>
    <w:basedOn w:val="760"/>
    <w:uiPriority w:val="39"/>
    <w:unhideWhenUsed/>
    <w:pPr>
      <w:ind w:left="2268" w:right="0" w:firstLine="0"/>
      <w:spacing w:after="57"/>
    </w:pPr>
  </w:style>
  <w:style w:type="paragraph" w:styleId="760">
    <w:name w:val="Normal ebb1b24d267abc9f3d8602b2a7ea114a"/>
    <w:pPr>
      <w:widowControl w:val="off"/>
    </w:pPr>
    <w:rPr>
      <w:rFonts w:ascii="Liberation Serif" w:hAnsi="Liberation Serif" w:cs="Mangal" w:eastAsia="SimSun"/>
      <w:color w:val="auto"/>
      <w:sz w:val="24"/>
      <w:szCs w:val="24"/>
      <w:lang w:val="it-IT" w:bidi="hi-IN" w:eastAsia="zh-CN"/>
    </w:rPr>
  </w:style>
  <w:style w:type="character" w:styleId="761">
    <w:name w:val="Default Paragraph Font ebb1b24d267abc9f3d8602b2a7ea114a"/>
    <w:uiPriority w:val="1"/>
    <w:semiHidden/>
    <w:unhideWhenUsed/>
  </w:style>
  <w:style w:type="numbering" w:styleId="762">
    <w:name w:val="No List ebb1b24d267abc9f3d8602b2a7ea114a"/>
    <w:uiPriority w:val="99"/>
    <w:semiHidden/>
    <w:unhideWhenUsed/>
  </w:style>
  <w:style w:type="table" w:styleId="763">
    <w:name w:val="Normal Table ebb1b24d267abc9f3d8602b2a7ea114a"/>
    <w:uiPriority w:val="99"/>
    <w:semiHidden/>
    <w:unhideWhenUsed/>
    <w:tblPr/>
  </w:style>
  <w:style w:type="character" w:styleId="764">
    <w:name w:val="Hyperlink 1852e324986e5afc5a68d4298229ad1e"/>
    <w:uiPriority w:val="99"/>
    <w:unhideWhenUsed/>
    <w:rPr>
      <w:color w:val="0000FF" w:themeColor="hyperlink"/>
      <w:u w:val="single"/>
    </w:rPr>
  </w:style>
  <w:style w:type="paragraph" w:styleId="765">
    <w:name w:val="toc 1 1852e324986e5afc5a68d4298229ad1e"/>
    <w:basedOn w:val="774"/>
    <w:uiPriority w:val="39"/>
    <w:unhideWhenUsed/>
    <w:pPr>
      <w:ind w:left="0" w:right="0" w:firstLine="0"/>
      <w:spacing w:after="57"/>
    </w:pPr>
  </w:style>
  <w:style w:type="paragraph" w:styleId="766">
    <w:name w:val="toc 2 1852e324986e5afc5a68d4298229ad1e"/>
    <w:basedOn w:val="774"/>
    <w:uiPriority w:val="39"/>
    <w:unhideWhenUsed/>
    <w:pPr>
      <w:ind w:left="283" w:right="0" w:firstLine="0"/>
      <w:spacing w:after="57"/>
    </w:pPr>
  </w:style>
  <w:style w:type="paragraph" w:styleId="767">
    <w:name w:val="toc 3 1852e324986e5afc5a68d4298229ad1e"/>
    <w:basedOn w:val="774"/>
    <w:uiPriority w:val="39"/>
    <w:unhideWhenUsed/>
    <w:pPr>
      <w:ind w:left="567" w:right="0" w:firstLine="0"/>
      <w:spacing w:after="57"/>
    </w:pPr>
  </w:style>
  <w:style w:type="paragraph" w:styleId="768">
    <w:name w:val="toc 4 1852e324986e5afc5a68d4298229ad1e"/>
    <w:basedOn w:val="774"/>
    <w:uiPriority w:val="39"/>
    <w:unhideWhenUsed/>
    <w:pPr>
      <w:ind w:left="850" w:right="0" w:firstLine="0"/>
      <w:spacing w:after="57"/>
    </w:pPr>
  </w:style>
  <w:style w:type="paragraph" w:styleId="769">
    <w:name w:val="toc 5 1852e324986e5afc5a68d4298229ad1e"/>
    <w:basedOn w:val="774"/>
    <w:uiPriority w:val="39"/>
    <w:unhideWhenUsed/>
    <w:pPr>
      <w:ind w:left="1134" w:right="0" w:firstLine="0"/>
      <w:spacing w:after="57"/>
    </w:pPr>
  </w:style>
  <w:style w:type="paragraph" w:styleId="770">
    <w:name w:val="toc 6 1852e324986e5afc5a68d4298229ad1e"/>
    <w:basedOn w:val="774"/>
    <w:uiPriority w:val="39"/>
    <w:unhideWhenUsed/>
    <w:pPr>
      <w:ind w:left="1417" w:right="0" w:firstLine="0"/>
      <w:spacing w:after="57"/>
    </w:pPr>
  </w:style>
  <w:style w:type="paragraph" w:styleId="771">
    <w:name w:val="toc 7 1852e324986e5afc5a68d4298229ad1e"/>
    <w:basedOn w:val="774"/>
    <w:uiPriority w:val="39"/>
    <w:unhideWhenUsed/>
    <w:pPr>
      <w:ind w:left="1701" w:right="0" w:firstLine="0"/>
      <w:spacing w:after="57"/>
    </w:pPr>
  </w:style>
  <w:style w:type="paragraph" w:styleId="772">
    <w:name w:val="toc 8 1852e324986e5afc5a68d4298229ad1e"/>
    <w:basedOn w:val="774"/>
    <w:uiPriority w:val="39"/>
    <w:unhideWhenUsed/>
    <w:pPr>
      <w:ind w:left="1984" w:right="0" w:firstLine="0"/>
      <w:spacing w:after="57"/>
    </w:pPr>
  </w:style>
  <w:style w:type="paragraph" w:styleId="773">
    <w:name w:val="toc 9 1852e324986e5afc5a68d4298229ad1e"/>
    <w:basedOn w:val="774"/>
    <w:uiPriority w:val="39"/>
    <w:unhideWhenUsed/>
    <w:pPr>
      <w:ind w:left="2268" w:right="0" w:firstLine="0"/>
      <w:spacing w:after="57"/>
    </w:pPr>
  </w:style>
  <w:style w:type="paragraph" w:styleId="774">
    <w:name w:val="Normal 1852e324986e5afc5a68d4298229ad1e"/>
    <w:pPr>
      <w:widowControl w:val="off"/>
    </w:pPr>
    <w:rPr>
      <w:rFonts w:ascii="Liberation Serif" w:hAnsi="Liberation Serif" w:cs="Mangal" w:eastAsia="SimSun"/>
      <w:color w:val="auto"/>
      <w:sz w:val="24"/>
      <w:szCs w:val="24"/>
      <w:lang w:val="it-IT" w:bidi="hi-IN" w:eastAsia="zh-CN"/>
    </w:rPr>
  </w:style>
  <w:style w:type="character" w:styleId="775">
    <w:name w:val="Default Paragraph Font 1852e324986e5afc5a68d4298229ad1e"/>
    <w:uiPriority w:val="1"/>
    <w:semiHidden/>
    <w:unhideWhenUsed/>
  </w:style>
  <w:style w:type="numbering" w:styleId="776">
    <w:name w:val="No List 1852e324986e5afc5a68d4298229ad1e"/>
    <w:uiPriority w:val="99"/>
    <w:semiHidden/>
    <w:unhideWhenUsed/>
  </w:style>
  <w:style w:type="table" w:styleId="777">
    <w:name w:val="Normal Table 1852e324986e5afc5a68d4298229ad1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15</cp:revision>
  <dcterms:created xsi:type="dcterms:W3CDTF">2016-01-21T15:36:37Z</dcterms:created>
  <dcterms:modified xsi:type="dcterms:W3CDTF">2026-04-24T08:15:15Z</dcterms:modified>
</cp:coreProperties>
</file>