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Tahoma" w:hAnsi="Tahoma" w:cs="Tahoma" w:eastAsia="Times New Roman"/>
          <w:lang w:eastAsia="it-IT"/>
        </w:rPr>
      </w:pPr>
      <w:r>
        <w:rPr>
          <w:rFonts w:ascii="Tahoma" w:hAnsi="Tahoma" w:cs="Tahoma" w:eastAsia="Times New Roman"/>
          <w:b/>
          <w:lang w:eastAsia="it-IT"/>
        </w:rPr>
      </w:r>
      <w:r>
        <w:rPr>
          <w:rFonts w:ascii="Tahoma" w:hAnsi="Tahoma" w:cs="Tahoma" w:eastAsia="Times New Roman"/>
          <w:lang w:eastAsia="it-IT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PROPOSTA DI DELIBERAZIONE</w:t>
      </w:r>
      <w:r>
        <w:rPr>
          <w:rFonts w:ascii="Arial" w:hAnsi="Arial" w:cs="Arial" w:eastAsia="Arial"/>
          <w:sz w:val="24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DEL CONSIGLIO COMUNALE</w:t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  <w:highlight w:val="none"/>
        </w:rPr>
      </w:pPr>
      <w:r>
        <w:rPr>
          <w:rFonts w:ascii="Arial" w:hAnsi="Arial" w:cs="Arial" w:eastAsia="Arial"/>
          <w:sz w:val="24"/>
          <w:highlight w:val="none"/>
        </w:rPr>
      </w:r>
      <w:r>
        <w:rPr>
          <w:rFonts w:ascii="Arial" w:hAnsi="Arial" w:cs="Arial" w:eastAsia="Arial"/>
          <w:sz w:val="24"/>
          <w:highlight w:val="none"/>
        </w:rPr>
      </w:r>
      <w:r/>
    </w:p>
    <w:p>
      <w:pPr>
        <w:jc w:val="center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highlight w:val="none"/>
          <w:lang w:eastAsia="it-IT"/>
        </w:rPr>
        <w:t xml:space="preserve">n. </w:t>
      </w:r>
      <w:r>
        <w:rPr>
          <w:rFonts w:ascii="Arial" w:hAnsi="Arial" w:cs="Arial" w:eastAsia="Arial"/>
          <w:b/>
          <w:sz w:val="24"/>
          <w:lang w:eastAsia="it-IT"/>
        </w:rPr>
        <w:t xml:space="preserve">533 del </w:t>
      </w:r>
      <w:r>
        <w:rPr>
          <w:rFonts w:ascii="Arial" w:hAnsi="Arial" w:cs="Arial" w:eastAsia="Arial"/>
          <w:b/>
          <w:sz w:val="24"/>
          <w:lang w:eastAsia="it-IT"/>
        </w:rPr>
        <w:t xml:space="preserve">12/05/2026</w:t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szCs w:val="1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OGGETTO:</w:t>
      </w:r>
      <w:r>
        <w:rPr>
          <w:rFonts w:ascii="Arial" w:hAnsi="Arial" w:cs="Arial" w:eastAsia="Arial"/>
          <w:sz w:val="24"/>
        </w:rPr>
      </w:r>
      <w:r/>
    </w:p>
    <w:p>
      <w:pPr>
        <w:rPr>
          <w:rFonts w:ascii="Arial" w:hAnsi="Arial" w:cs="Arial" w:eastAsia="Arial"/>
        </w:rPr>
      </w:pPr>
      <w:r>
        <w:rPr>
          <w:rFonts w:ascii="Arial" w:hAnsi="Arial" w:cs="Arial" w:eastAsia="Arial"/>
          <w:b/>
          <w:sz w:val="24"/>
          <w:lang w:eastAsia="it-IT"/>
        </w:rPr>
        <w:t xml:space="preserve">APPROVAZIONE DELL' AGGIORNAMENTO DEL PROGRAMMA TRIENNALE LAVORI PUBBLICI, PR</w:t>
      </w:r>
      <w:r>
        <w:rPr>
          <w:rFonts w:ascii="Arial" w:hAnsi="Arial" w:cs="Arial" w:eastAsia="Arial"/>
          <w:b/>
          <w:sz w:val="24"/>
          <w:lang w:eastAsia="it-IT"/>
        </w:rPr>
        <w:t xml:space="preserve">OGRAMMA TRIENNALE DEGLI ACQUISTI DI BENI E SERVIZI RELATIVI AGLI ANNI 2026/2028 E RELATIVO ELENCO ANNUALE 2026 - AI SENSI DELL' ART. 37 ED ALLEGATO I.5 DEL D.LGS. 36/2023 SS.MM.II. E CONTESTUALE MODIFICA AL DOCUMENTO UNICO DI PROGRAMMAZIONE (DUP 2026-2028)</w:t>
      </w:r>
      <w:r>
        <w:rPr>
          <w:rFonts w:ascii="Arial" w:hAnsi="Arial" w:cs="Arial" w:eastAsia="Arial"/>
          <w:sz w:val="24"/>
        </w:rPr>
      </w:r>
      <w:r/>
    </w:p>
    <w:p>
      <w:pPr>
        <w:jc w:val="both"/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  <w:pBdr>
          <w:bottom w:val="single" w:color="000000" w:sz="6" w:space="0"/>
        </w:pBd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tabs>
          <w:tab w:val="left" w:pos="708" w:leader="none"/>
          <w:tab w:val="center" w:pos="4819" w:leader="none"/>
          <w:tab w:val="right" w:pos="9638" w:leader="none"/>
        </w:tabs>
        <w:rPr>
          <w:rFonts w:ascii="Arial" w:hAnsi="Arial" w:cs="Arial" w:eastAsia="Arial"/>
        </w:rPr>
      </w:pPr>
      <w:r>
        <w:rPr>
          <w:rFonts w:ascii="Arial" w:hAnsi="Arial" w:cs="Arial" w:eastAsia="Arial"/>
          <w:sz w:val="24"/>
          <w:lang w:eastAsia="it-IT"/>
        </w:rPr>
      </w:r>
      <w:r>
        <w:rPr>
          <w:rFonts w:ascii="Arial" w:hAnsi="Arial" w:cs="Arial" w:eastAsia="Arial"/>
          <w:sz w:val="24"/>
        </w:rPr>
      </w:r>
      <w:r/>
    </w:p>
    <w:p>
      <w:pPr>
        <w:pStyle w:val="764"/>
      </w:pPr>
      <w:r/>
      <w:r/>
    </w:p>
    <w:p>
      <w:pPr>
        <w:pStyle w:val="750"/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</w:rPr>
        <w:t xml:space="preserve">IL CONSIGLIO COMUNALE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left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ind w:left="0" w:right="57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VISTO il Decreto Legislativo 31 marzo 2023, n. 36 “Codice dei contratti pubblici”, in particolare, l’art. 37 del Decreto Legislativo citato, “Programmazione dei lavori e degli acquisti di beni e servizi” il quale dispone, tra l’altro, che gli Enti pubblici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, tra cui gli enti locali, sono tenuti a predisporre ed approvare un programma triennale dei lavori corredato di un elenco dei lavori da realizzare nell'anno stesso, da approvarsi nel rispetto dei documenti programmatori e in coerenza con il bilancio, seco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ndo gli schemi tipo definiti dal Ministero delle Infrastrutture e dei Trasporti; 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57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57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PRESO ATTO che: 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le modalità e i contenuti della programmazione dei lavori pubblici sono definiti dall’Allegato I.5 al menzionato Decreto; 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l’elaborazione del programma viene direttamente effettuata dall’Ufficio preposto con la redazione delle schede previste dall’Allegato I.5; 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57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57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PRESO ATTO ALTRESI’ che: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ai sensi di quanto stabilito dall’art. 37 comma 2 del D.Lgs. 36/2023, il programma triennale dei lavori pubblici e i relativi aggiornamenti annuali contengono i lavori il cui importo si stima pari o superiore alla soglia di cui all’art. 50, comma 1, lett.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a); 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si ritiene opportuno inserire nel programma triennale e nell’elenco annuale anche tutti gli interventi che si configurano come lavori pubblici la cui spesa d’investimento risulti inferiore, al fine di disporre di un quadro programmatico completo;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CONSIDERATO CHE il processo di formazione del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Programma triennale dei lavori pubblici 2026/2028 e l’elenco annuale dei lavori dell’anno 2026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è un processo continuo, che segue le esigenze e le problematiche sottese agli interventi che si vanno definendo durante l’anno e che incidono sulla programmazione e attuazione dei lavori pubblici e questo fa sì che la programmazione assuma un carattere di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dinamicità, in grado di cogliere ogni opportunità che via via si prospetta;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CONSIDERATO CHE il presente aggiornamento del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Programma triennale dei lavori pubblici 2026/2028 e l’elenco annuale dei lavori dell’anno 2026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sono stati predisposti tenendo conto sia delle disposizioni legislative a riguardo, che degli indirizzi programmatici di questa Amministrazione Comunale, con particolare riferimento alla verifica delle risorse finanziarie effettivamente disponibili;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VISTO l’atto di G.C. n. 134 del 01/12/2025 quale “Presentazione al Consiglio della nota di aggiornamento del Documento Unico Di Programmazione (D.U.P.) 2026-2028 (art. 170,  comma 1 D.LGS. N. 267/2000)” contenente anche il Programma triennale delle opere p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ubbliche e il Programma triennale degli acquisti di beni e servizi relativi agli anni 2026/2028 e del relativo elenco annuale 2026;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RICHIAMATA la Delibera C.C. n. 78 del 29/12/2025 avente ad oggetto “Approvazione della nota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aggiornamento al Documento Unico di Programmazione (DUP2026-2028)” contenente anche il Programma triennale delle opere pubbliche e il Programma triennale degli acquisti di beni e servizi relativi agli anni 2026/2028 e del relativo elenco annuale 2026;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RICHIAMATA la delibera di G.C. n. 67 del 11/05/2026 ad oggetto “APPROVAZIONE AGGIORNAMENTO DEL DOCUMENTO D'INDIRIZZO ALLA PROGETTAZIONE PER LAVORI DI MANUTENZIONE STRADE COMUNALI - CUP: G87H25001700004”;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DATO ATTO che il presente aggiornamento del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Programma triennale dei lavori pubblici 2026/2028 e l’elenco annuale dei lavori dell’anno 2026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si rende necessario a fini dell’adeguamento progettuale ed economico delle seguenti opere pubbliche: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LAVORI DI MANUTENZIONE STRADE COMUNALI - CUP: G87H25001700004 che prevede la nuova spesa complessiva, da quadro economico, di euro 3.000.000,00;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Scuola di Campocavallo che prevede la nuova spesa complessiva, da quadro economico, di euro 7.020.000,00;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1"/>
        </w:numPr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Nuova Rotatoria di via Linguetta che prevede la nuova spesa complessiva, da quadro economico, di euro 400.000,00;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e del recepimento degli interventi previsti nel piano 2025/2027 e posticipati alla prima annualità dell’anno 2026;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DATO ATTO che il presente aggiornamento del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Programma triennale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degli Acquisti di Beni e Servizi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2026/2028 e l’elenco annuale dei lavori dell’anno 2026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si rende necessario al fine di adeguare lo stesso all’attuazione degli interventi programmati;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VISTO lo schema del presente aggiornamento del Programma triennale dei lavori pubblici 2026/2028 e l’elenco annuale dei lavori dell’anno 2026, redatti dal Settore Lavori Pubblici, sulla base del precedente programma triennale secondo il sistema a “scorrime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nto” previsto dalla legge, di cui all’allegato I, così composto: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2"/>
        </w:numPr>
        <w:jc w:val="both"/>
        <w:spacing w:before="0" w:after="0"/>
        <w:tabs>
          <w:tab w:val="left" w:pos="426" w:leader="none"/>
          <w:tab w:val="left" w:pos="1701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Scheda A: </w:t>
        <w:tab/>
        <w:t xml:space="preserve">Quadro delle risorse necessarie alla realizzazione del programma;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2"/>
        </w:numPr>
        <w:jc w:val="both"/>
        <w:spacing w:before="0" w:after="0"/>
        <w:tabs>
          <w:tab w:val="left" w:pos="426" w:leader="none"/>
          <w:tab w:val="left" w:pos="1701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Scheda B: </w:t>
        <w:tab/>
        <w:t xml:space="preserve">Elenco delle opere incompiute;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2"/>
        </w:numPr>
        <w:jc w:val="both"/>
        <w:spacing w:before="0" w:after="0"/>
        <w:tabs>
          <w:tab w:val="left" w:pos="426" w:leader="none"/>
          <w:tab w:val="left" w:pos="1701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Scheda C: </w:t>
        <w:tab/>
        <w:t xml:space="preserve">Elenco degli immobili disponibili;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2"/>
        </w:numPr>
        <w:jc w:val="both"/>
        <w:spacing w:before="0" w:after="0"/>
        <w:tabs>
          <w:tab w:val="left" w:pos="426" w:leader="none"/>
          <w:tab w:val="left" w:pos="1701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Scheda D: </w:t>
        <w:tab/>
        <w:t xml:space="preserve">Elenco degli interventi del programma;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2"/>
        </w:numPr>
        <w:jc w:val="both"/>
        <w:spacing w:before="0" w:after="0"/>
        <w:tabs>
          <w:tab w:val="left" w:pos="426" w:leader="none"/>
          <w:tab w:val="left" w:pos="1701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Scheda E: </w:t>
        <w:tab/>
        <w:t xml:space="preserve">Interventi ricompresi nell’elenco annuale;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2"/>
        </w:numPr>
        <w:jc w:val="both"/>
        <w:spacing w:before="0" w:after="0"/>
        <w:tabs>
          <w:tab w:val="left" w:pos="426" w:leader="none"/>
          <w:tab w:val="left" w:pos="1701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Scheda F: </w:t>
        <w:tab/>
        <w:t xml:space="preserve">Elenco degli interventi presenti nell’elenco annuale del precedente programma triennale e non riproposti e non avviati;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VISTO lo schema del presente aggiornamento del Programma triennale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degli Acquisti di Beni e Servizi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2026/2028 e l’elenco annuale dei lavori dell’anno 2026, redatti dal Settore Lavori Pubblici, sulla base del precedente programma triennale secondo il sistema a “scorrimento” previsto dalla legge, di cui all’allegato II, così composto: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2"/>
        </w:numPr>
        <w:jc w:val="both"/>
        <w:spacing w:before="0" w:after="0"/>
        <w:tabs>
          <w:tab w:val="left" w:pos="426" w:leader="none"/>
          <w:tab w:val="left" w:pos="1701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Scheda G: </w:t>
        <w:tab/>
        <w:t xml:space="preserve">Quadro delle risorse necessarie alla realizzazione del programma;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2"/>
        </w:numPr>
        <w:jc w:val="both"/>
        <w:spacing w:before="0" w:after="0"/>
        <w:tabs>
          <w:tab w:val="left" w:pos="426" w:leader="none"/>
          <w:tab w:val="left" w:pos="1701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Scheda H: </w:t>
        <w:tab/>
        <w:t xml:space="preserve">Elenco degli acquisti del programma;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2"/>
        </w:numPr>
        <w:jc w:val="both"/>
        <w:spacing w:before="0" w:after="0"/>
        <w:tabs>
          <w:tab w:val="left" w:pos="426" w:leader="none"/>
          <w:tab w:val="left" w:pos="1701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Scheda I: </w:t>
        <w:tab/>
        <w:t xml:space="preserve">Elenco degli acquisti presenti nell’elenco annuale del precedente programma triennale e non riproposti e non avviati;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RILEVATA la propria competenza all’approvazione dello schema di aggiornamento del Programma Triennale delle Opere Pubbliche e Programma Triennale degli Acquisti di Beni e Servizi 2026/2028 ed elenco annuale 2026 ai sensi dell’art. 42 del D.Lgs. n. 267/2000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ss.mm.ii.;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  <w:highlight w:val="yellow"/>
        </w:rPr>
        <w:t xml:space="preserve">VISTO il parere n._______ del Collegio Revisori dei Conti del Comune di Osimo, espresso in data ___________;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VISTO il D.Lgs. n. 267/2000 ss.mm.ii.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VISTO il D.Lgs. n. 118/2011 ss.mm.ii.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VISTO il D.Lgs. 36/2023 ss.mm.ii. per gli articoli efficaci;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VISTO lo Statuto comunale;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ACQUISITI i seguenti pareri, ai sensi dell’art. 49 del D.Lgs. n. 267/2000 a condizione che venga acquisito prima della seduta del Consiglio Comunale, ai sensi dell’articolo 239 del TUEL, l’obbligatorio parere del Collegio dei Revisori: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Parere favorevole di regolarità tecnica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La Dirigente del Dipartimento del Territorio: Arch. Manuela Vecchietti 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Parere favorevole di regolarità contabile 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La Dirigente del Dipartimento delle Finanze – Dott.ssa Anna Tiberi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708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 E L I B E R A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3"/>
        </w:numPr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dare atto che le premesse costituiscono parte integrante e sostanziale del presente provvedimento;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3"/>
        </w:numPr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approvare ai sensi dell’art. 37 ed allegato I.5 del D.lgs. 36/2023 e ss.mm.ii., l’aggiornamento del presente schema del programma triennale delle opere pubbliche relativo agli anni 2026/2028e del relativo elenco annuale 2026, secondo il contenuto delle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schede allegate al presente provvedimento sotto l’Allegato I quale parte integrante e sostanziale.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3"/>
        </w:numPr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approvare ai sensi dell’art. 37 ed allegato I.5 del D.lgs. 36/2023 e ss.mm.ii., l’aggiornamento del presente schema del programma triennale degli acquisti di beni e servizi relativo agli anni 2026/2028 e del relativo elenco annuale 2026, secondo il cont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enuto delle schede allegate al presente provvedimento sotto l’Allegato II quale parte integrante e sostanziale.</w:t>
      </w:r>
      <w:r>
        <w:rPr>
          <w:rFonts w:ascii="Times New Roman" w:hAnsi="Times New Roman" w:cs="Times New Roman" w:eastAsia="Times New Roman"/>
        </w:rPr>
      </w:r>
      <w:r/>
    </w:p>
    <w:p>
      <w:pPr>
        <w:numPr>
          <w:ilvl w:val="0"/>
          <w:numId w:val="3"/>
        </w:numPr>
        <w:jc w:val="both"/>
        <w:spacing w:before="0" w:after="0"/>
        <w:tabs>
          <w:tab w:val="left" w:pos="426" w:leader="none"/>
        </w:tabs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dare atto che l’aggiornamento del Programma triennale delle opere pubbliche e del Programma triennale degli acquisti di beni e servizi relativo agli anni 2026/2028 e del relativo elenco annuale 2026 comporta contestuale modifica del “Documento Unico di 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Programmazione (DUP2026-2028)”, ai sensi della normativa vigente, del quale costituiscono parte integrante e sostanziale;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57" w:firstLine="0"/>
        <w:jc w:val="center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Infine, stante l’urgenza di provvedere alla approvazione dell’aggiornamento per avviare le procedure relative all’anno 2026;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center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D E L I B E R A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 </w:t>
      </w:r>
      <w:r>
        <w:rPr>
          <w:rFonts w:ascii="Times New Roman" w:hAnsi="Times New Roman" w:cs="Times New Roman" w:eastAsia="Times New Roman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cs="Times New Roman"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di dichiarare la presente deliberazione immediatamente eseguibile, ai sensi dell'art.134, comma 4 del D.Lgs. 18.8.2000 n.267.</w:t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 w:eastAsia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 w:eastAsia="Times New Roman"/>
        </w:rPr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center"/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sz w:val="24"/>
          <w:highlight w:val="none"/>
        </w:rPr>
      </w:r>
      <w:r/>
    </w:p>
    <w:p>
      <w:pPr>
        <w:jc w:val="left"/>
        <w:rPr>
          <w:bCs/>
          <w:i/>
          <w:sz w:val="20"/>
          <w:szCs w:val="20"/>
        </w:rPr>
      </w:pP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A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i sensi dell’art.35 del Regolamento del Consiglio Comunale, le sedute pubbliche del Consiglio Comunale vengono riprese e trasmesse via web e sono integralmente registrate su supporto digitale. Dette registrazioni sono consultabili attraverso il sito Intern</w:t>
      </w:r>
      <w:r>
        <w:rPr>
          <w:rFonts w:ascii="Arial" w:hAnsi="Arial" w:cs="Arial" w:eastAsia="Arial"/>
          <w:b/>
          <w:i/>
          <w:iCs/>
          <w:sz w:val="20"/>
          <w:szCs w:val="20"/>
          <w:highlight w:val="none"/>
        </w:rPr>
        <w:t xml:space="preserve">et del Comune.</w:t>
      </w:r>
      <w:r>
        <w:rPr>
          <w:bCs/>
          <w:i/>
          <w:sz w:val="20"/>
          <w:szCs w:val="20"/>
        </w:rPr>
      </w:r>
      <w:r/>
    </w:p>
    <w:p>
      <w:pPr>
        <w:jc w:val="center"/>
        <w:rPr>
          <w:rFonts w:ascii="Arial" w:hAnsi="Arial" w:cs="Arial" w:eastAsia="Arial"/>
          <w:b/>
          <w:bCs/>
          <w:sz w:val="24"/>
          <w:szCs w:val="24"/>
          <w:highlight w:val="none"/>
        </w:rPr>
      </w:pPr>
      <w:r>
        <w:rPr>
          <w:rFonts w:ascii="Arial" w:hAnsi="Arial" w:cs="Arial" w:eastAsia="Arial"/>
          <w:b/>
          <w:sz w:val="24"/>
          <w:highlight w:val="none"/>
        </w:rPr>
        <w:t xml:space="preserve">***</w:t>
      </w:r>
      <w:r>
        <w:rPr>
          <w:rFonts w:ascii="Arial" w:hAnsi="Arial" w:cs="Arial" w:eastAsia="Arial"/>
          <w:b/>
          <w:bCs/>
          <w:sz w:val="24"/>
          <w:szCs w:val="24"/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Arial">
    <w:panose1 w:val="020B0604020202020204"/>
  </w:font>
  <w:font w:name="SimSun">
    <w:panose1 w:val="02020603020101020101"/>
  </w:font>
  <w:font w:name="Courier New">
    <w:panose1 w:val="02070309020205020404"/>
  </w:font>
  <w:font w:name="Mangal">
    <w:panose1 w:val="02020603050405020304"/>
  </w:font>
  <w:font w:name="Liberation Serif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0"/>
      <w:jc w:val="center"/>
      <w:spacing w:before="0" w:after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  <w:highlight w:val="none"/>
      </w:rPr>
    </w:r>
    <w:r/>
  </w:p>
  <w:p>
    <w:pPr>
      <w:ind w:left="0" w:right="0" w:firstLine="0"/>
      <w:jc w:val="left"/>
      <w:spacing w:before="0" w:after="0"/>
      <w:rPr>
        <w:rFonts w:ascii="Arial" w:hAnsi="Arial" w:cs="Arial" w:eastAsia="Arial"/>
        <w:color w:val="000000"/>
        <w:highlight w:val="none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>
      <w:rPr>
        <w:rFonts w:ascii="Arial" w:hAnsi="Arial" w:cs="Arial" w:eastAsia="Arial"/>
        <w:color w:val="000000"/>
        <w:sz w:val="18"/>
      </w:rPr>
      <w:t xml:space="preserve">Proposta di </w:t>
    </w:r>
    <w:r>
      <w:rPr>
        <w:rFonts w:ascii="Arial" w:hAnsi="Arial" w:cs="Arial" w:eastAsia="Arial"/>
        <w:color w:val="000000"/>
        <w:sz w:val="18"/>
      </w:rPr>
      <w:t xml:space="preserve">Delibera di Consiglio</w:t>
    </w:r>
    <w:r>
      <w:rPr>
        <w:rFonts w:ascii="Arial" w:hAnsi="Arial" w:cs="Arial" w:eastAsia="Arial"/>
        <w:color w:val="000000"/>
        <w:sz w:val="18"/>
      </w:rPr>
      <w:t xml:space="preserve"> n. 533 del 12/05/2026</w:t>
    </w:r>
    <w:r>
      <w:rPr>
        <w:rFonts w:ascii="Arial" w:hAnsi="Arial" w:cs="Arial" w:eastAsia="Arial"/>
        <w:color w:val="000000"/>
        <w:highlight w:val="none"/>
      </w:rPr>
    </w:r>
    <w:r/>
  </w:p>
  <w:p>
    <w:pPr>
      <w:pStyle w:val="737"/>
      <w:jc w:val="right"/>
      <w:rPr>
        <w:rFonts w:ascii="Arial" w:hAnsi="Arial" w:cs="Arial" w:eastAsia="Arial"/>
        <w:highlight w:val="none"/>
      </w:rPr>
    </w:pPr>
    <w:r>
      <w:rPr>
        <w:rFonts w:ascii="Arial" w:hAnsi="Arial" w:cs="Arial" w:eastAsia="Arial"/>
        <w:sz w:val="18"/>
      </w:rPr>
      <w:t xml:space="preserve">Pag. </w:t>
    </w:r>
    <w:fldSimple w:instr="PAGE \* MERGEFORMAT">
      <w:r>
        <w:rPr>
          <w:rFonts w:ascii="Arial" w:hAnsi="Arial" w:cs="Arial" w:eastAsia="Arial"/>
          <w:sz w:val="18"/>
        </w:rPr>
        <w:t xml:space="preserve">1</w:t>
      </w:r>
    </w:fldSimple>
    <w:r>
      <w:rPr>
        <w:rFonts w:ascii="Arial" w:hAnsi="Arial" w:cs="Arial" w:eastAsia="Arial"/>
        <w:sz w:val="18"/>
      </w:rPr>
    </w:r>
    <w:r>
      <w:rPr>
        <w:rFonts w:ascii="Arial" w:hAnsi="Arial" w:cs="Arial" w:eastAsia="Arial"/>
        <w:highlight w:val="none"/>
      </w:rPr>
    </w:r>
    <w:r/>
  </w:p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5"/>
    </w:pPr>
    <w:r/>
    <w:r/>
  </w:p>
  <w:p>
    <w:r>
      <w:rPr>
        <w:rFonts w:ascii="Times New Roman" w:hAnsi="Times New Roman" w:cs="Times New Roman" w:eastAsia="Times New Roman"/>
        <w:lang w:bidi="ar-SA" w:eastAsia="it-IT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-144145</wp:posOffset>
              </wp:positionV>
              <wp:extent cx="1444625" cy="1776730"/>
              <wp:effectExtent l="0" t="0" r="0" b="0"/>
              <wp:wrapNone/>
              <wp:docPr id="1" name="Immagine 1" descr="logo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6180020" name="Immagine 1" descr="logo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1444624" cy="1776729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59264;o:allowoverlap:true;o:allowincell:true;mso-position-horizontal-relative:text;margin-left:-17.8pt;mso-position-horizontal:absolute;mso-position-vertical-relative:text;margin-top:-11.3pt;mso-position-vertical:absolute;width:113.8pt;height:139.9pt;rotation:0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778"/>
    </w:pPr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6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Mangal" w:eastAsia="SimSun" w:hint="default"/>
        <w:sz w:val="24"/>
        <w:szCs w:val="24"/>
        <w:lang w:val="it-IT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">
    <w:name w:val="Normal"/>
    <w:qFormat/>
  </w:style>
  <w:style w:type="character" w:styleId="9">
    <w:name w:val="Default Paragraph Font"/>
    <w:uiPriority w:val="1"/>
    <w:semiHidden/>
    <w:unhideWhenUsed/>
  </w:style>
  <w:style w:type="numbering" w:styleId="10">
    <w:name w:val="No List"/>
    <w:uiPriority w:val="99"/>
    <w:semiHidden/>
    <w:unhideWhenUsed/>
  </w:style>
  <w:style w:type="paragraph" w:styleId="11">
    <w:name w:val="Heading 1"/>
    <w:basedOn w:val="8"/>
    <w:next w:val="8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8"/>
    <w:next w:val="8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9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8"/>
    <w:next w:val="8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8"/>
    <w:next w:val="8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8"/>
    <w:next w:val="8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8"/>
    <w:next w:val="8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8"/>
    <w:next w:val="8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8"/>
    <w:next w:val="8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8"/>
    <w:next w:val="8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8"/>
    <w:uiPriority w:val="34"/>
    <w:qFormat/>
    <w:pPr>
      <w:contextualSpacing/>
      <w:ind w:left="720"/>
    </w:pPr>
  </w:style>
  <w:style w:type="table" w:styleId="3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8"/>
    <w:next w:val="8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8"/>
    <w:next w:val="8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8"/>
    <w:next w:val="8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8"/>
    <w:next w:val="8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8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8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8"/>
    <w:next w:val="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8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/>
    <w:rPr>
      <w:vertAlign w:val="superscript"/>
    </w:rPr>
  </w:style>
  <w:style w:type="paragraph" w:styleId="176">
    <w:name w:val="endnote text"/>
    <w:basedOn w:val="8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/>
    <w:unhideWhenUsed/>
    <w:rPr>
      <w:vertAlign w:val="superscript"/>
    </w:rPr>
  </w:style>
  <w:style w:type="paragraph" w:styleId="179">
    <w:name w:val="toc 1"/>
    <w:basedOn w:val="8"/>
    <w:next w:val="8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8"/>
    <w:next w:val="8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8"/>
    <w:next w:val="8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8"/>
    <w:next w:val="8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8"/>
    <w:next w:val="8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8"/>
    <w:next w:val="8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8"/>
    <w:next w:val="8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8"/>
    <w:next w:val="8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8"/>
    <w:next w:val="8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8"/>
    <w:next w:val="8"/>
    <w:uiPriority w:val="99"/>
    <w:unhideWhenUsed/>
    <w:pPr>
      <w:spacing w:after="0" w:afterAutospacing="0"/>
    </w:pPr>
  </w:style>
  <w:style w:type="paragraph" w:styleId="735">
    <w:name w:val="Header 024a3615f2dc6782d493c9c173d5353a"/>
    <w:basedOn w:val="750"/>
    <w:link w:val="73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6">
    <w:name w:val="Header Char 024a3615f2dc6782d493c9c173d5353a"/>
    <w:link w:val="735"/>
    <w:uiPriority w:val="99"/>
  </w:style>
  <w:style w:type="paragraph" w:styleId="737">
    <w:name w:val="Footer 024a3615f2dc6782d493c9c173d5353a"/>
    <w:basedOn w:val="750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8">
    <w:name w:val="Footer Char 024a3615f2dc6782d493c9c173d5353a"/>
    <w:link w:val="737"/>
    <w:uiPriority w:val="99"/>
  </w:style>
  <w:style w:type="character" w:styleId="739">
    <w:name w:val="Caption Char 024a3615f2dc6782d493c9c173d5353a"/>
    <w:link w:val="737"/>
    <w:uiPriority w:val="99"/>
  </w:style>
  <w:style w:type="character" w:styleId="740">
    <w:name w:val="Hyperlink 024a3615f2dc6782d493c9c173d5353a"/>
    <w:uiPriority w:val="99"/>
    <w:unhideWhenUsed/>
    <w:rPr>
      <w:color w:val="0000FF" w:themeColor="hyperlink"/>
      <w:u w:val="single"/>
    </w:rPr>
  </w:style>
  <w:style w:type="paragraph" w:styleId="741">
    <w:name w:val="toc 1 024a3615f2dc6782d493c9c173d5353a"/>
    <w:basedOn w:val="750"/>
    <w:uiPriority w:val="39"/>
    <w:unhideWhenUsed/>
    <w:pPr>
      <w:ind w:left="0" w:right="0" w:firstLine="0"/>
      <w:spacing w:after="57"/>
    </w:pPr>
  </w:style>
  <w:style w:type="paragraph" w:styleId="742">
    <w:name w:val="toc 2 024a3615f2dc6782d493c9c173d5353a"/>
    <w:basedOn w:val="750"/>
    <w:uiPriority w:val="39"/>
    <w:unhideWhenUsed/>
    <w:pPr>
      <w:ind w:left="283" w:right="0" w:firstLine="0"/>
      <w:spacing w:after="57"/>
    </w:pPr>
  </w:style>
  <w:style w:type="paragraph" w:styleId="743">
    <w:name w:val="toc 3 024a3615f2dc6782d493c9c173d5353a"/>
    <w:basedOn w:val="750"/>
    <w:uiPriority w:val="39"/>
    <w:unhideWhenUsed/>
    <w:pPr>
      <w:ind w:left="567" w:right="0" w:firstLine="0"/>
      <w:spacing w:after="57"/>
    </w:pPr>
  </w:style>
  <w:style w:type="paragraph" w:styleId="744">
    <w:name w:val="toc 4 024a3615f2dc6782d493c9c173d5353a"/>
    <w:basedOn w:val="750"/>
    <w:uiPriority w:val="39"/>
    <w:unhideWhenUsed/>
    <w:pPr>
      <w:ind w:left="850" w:right="0" w:firstLine="0"/>
      <w:spacing w:after="57"/>
    </w:pPr>
  </w:style>
  <w:style w:type="paragraph" w:styleId="745">
    <w:name w:val="toc 5 024a3615f2dc6782d493c9c173d5353a"/>
    <w:basedOn w:val="750"/>
    <w:uiPriority w:val="39"/>
    <w:unhideWhenUsed/>
    <w:pPr>
      <w:ind w:left="1134" w:right="0" w:firstLine="0"/>
      <w:spacing w:after="57"/>
    </w:pPr>
  </w:style>
  <w:style w:type="paragraph" w:styleId="746">
    <w:name w:val="toc 6 024a3615f2dc6782d493c9c173d5353a"/>
    <w:basedOn w:val="750"/>
    <w:uiPriority w:val="39"/>
    <w:unhideWhenUsed/>
    <w:pPr>
      <w:ind w:left="1417" w:right="0" w:firstLine="0"/>
      <w:spacing w:after="57"/>
    </w:pPr>
  </w:style>
  <w:style w:type="paragraph" w:styleId="747">
    <w:name w:val="toc 7 024a3615f2dc6782d493c9c173d5353a"/>
    <w:basedOn w:val="750"/>
    <w:uiPriority w:val="39"/>
    <w:unhideWhenUsed/>
    <w:pPr>
      <w:ind w:left="1701" w:right="0" w:firstLine="0"/>
      <w:spacing w:after="57"/>
    </w:pPr>
  </w:style>
  <w:style w:type="paragraph" w:styleId="748">
    <w:name w:val="toc 8 024a3615f2dc6782d493c9c173d5353a"/>
    <w:basedOn w:val="750"/>
    <w:uiPriority w:val="39"/>
    <w:unhideWhenUsed/>
    <w:pPr>
      <w:ind w:left="1984" w:right="0" w:firstLine="0"/>
      <w:spacing w:after="57"/>
    </w:pPr>
  </w:style>
  <w:style w:type="paragraph" w:styleId="749">
    <w:name w:val="toc 9 024a3615f2dc6782d493c9c173d5353a"/>
    <w:basedOn w:val="750"/>
    <w:uiPriority w:val="39"/>
    <w:unhideWhenUsed/>
    <w:pPr>
      <w:ind w:left="2268" w:right="0" w:firstLine="0"/>
      <w:spacing w:after="57"/>
    </w:pPr>
  </w:style>
  <w:style w:type="paragraph" w:styleId="750" w:default="1">
    <w:name w:val="Normal 024a3615f2dc6782d493c9c173d5353a"/>
    <w:qFormat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51" w:default="1">
    <w:name w:val="Default Paragraph Font 024a3615f2dc6782d493c9c173d5353a"/>
    <w:uiPriority w:val="1"/>
    <w:semiHidden/>
    <w:unhideWhenUsed/>
  </w:style>
  <w:style w:type="numbering" w:styleId="752" w:default="1">
    <w:name w:val="No List 024a3615f2dc6782d493c9c173d5353a"/>
    <w:uiPriority w:val="99"/>
    <w:semiHidden/>
    <w:unhideWhenUsed/>
  </w:style>
  <w:style w:type="table" w:styleId="753" w:default="1">
    <w:name w:val="Normal Table 024a3615f2dc6782d493c9c173d5353a"/>
    <w:uiPriority w:val="99"/>
    <w:semiHidden/>
    <w:unhideWhenUsed/>
    <w:tblPr/>
  </w:style>
  <w:style w:type="character" w:styleId="754">
    <w:name w:val="Hyperlink dcd1ccaf8d4ce53d0195a6b1a6e292f3"/>
    <w:uiPriority w:val="99"/>
    <w:unhideWhenUsed/>
    <w:rPr>
      <w:color w:val="0000FF" w:themeColor="hyperlink"/>
      <w:u w:val="single"/>
    </w:rPr>
  </w:style>
  <w:style w:type="paragraph" w:styleId="755">
    <w:name w:val="toc 1 dcd1ccaf8d4ce53d0195a6b1a6e292f3"/>
    <w:basedOn w:val="764"/>
    <w:uiPriority w:val="39"/>
    <w:unhideWhenUsed/>
    <w:pPr>
      <w:ind w:left="0" w:right="0" w:firstLine="0"/>
      <w:spacing w:after="57"/>
    </w:pPr>
  </w:style>
  <w:style w:type="paragraph" w:styleId="756">
    <w:name w:val="toc 2 dcd1ccaf8d4ce53d0195a6b1a6e292f3"/>
    <w:basedOn w:val="764"/>
    <w:uiPriority w:val="39"/>
    <w:unhideWhenUsed/>
    <w:pPr>
      <w:ind w:left="283" w:right="0" w:firstLine="0"/>
      <w:spacing w:after="57"/>
    </w:pPr>
  </w:style>
  <w:style w:type="paragraph" w:styleId="757">
    <w:name w:val="toc 3 dcd1ccaf8d4ce53d0195a6b1a6e292f3"/>
    <w:basedOn w:val="764"/>
    <w:uiPriority w:val="39"/>
    <w:unhideWhenUsed/>
    <w:pPr>
      <w:ind w:left="567" w:right="0" w:firstLine="0"/>
      <w:spacing w:after="57"/>
    </w:pPr>
  </w:style>
  <w:style w:type="paragraph" w:styleId="758">
    <w:name w:val="toc 4 dcd1ccaf8d4ce53d0195a6b1a6e292f3"/>
    <w:basedOn w:val="764"/>
    <w:uiPriority w:val="39"/>
    <w:unhideWhenUsed/>
    <w:pPr>
      <w:ind w:left="850" w:right="0" w:firstLine="0"/>
      <w:spacing w:after="57"/>
    </w:pPr>
  </w:style>
  <w:style w:type="paragraph" w:styleId="759">
    <w:name w:val="toc 5 dcd1ccaf8d4ce53d0195a6b1a6e292f3"/>
    <w:basedOn w:val="764"/>
    <w:uiPriority w:val="39"/>
    <w:unhideWhenUsed/>
    <w:pPr>
      <w:ind w:left="1134" w:right="0" w:firstLine="0"/>
      <w:spacing w:after="57"/>
    </w:pPr>
  </w:style>
  <w:style w:type="paragraph" w:styleId="760">
    <w:name w:val="toc 6 dcd1ccaf8d4ce53d0195a6b1a6e292f3"/>
    <w:basedOn w:val="764"/>
    <w:uiPriority w:val="39"/>
    <w:unhideWhenUsed/>
    <w:pPr>
      <w:ind w:left="1417" w:right="0" w:firstLine="0"/>
      <w:spacing w:after="57"/>
    </w:pPr>
  </w:style>
  <w:style w:type="paragraph" w:styleId="761">
    <w:name w:val="toc 7 dcd1ccaf8d4ce53d0195a6b1a6e292f3"/>
    <w:basedOn w:val="764"/>
    <w:uiPriority w:val="39"/>
    <w:unhideWhenUsed/>
    <w:pPr>
      <w:ind w:left="1701" w:right="0" w:firstLine="0"/>
      <w:spacing w:after="57"/>
    </w:pPr>
  </w:style>
  <w:style w:type="paragraph" w:styleId="762">
    <w:name w:val="toc 8 dcd1ccaf8d4ce53d0195a6b1a6e292f3"/>
    <w:basedOn w:val="764"/>
    <w:uiPriority w:val="39"/>
    <w:unhideWhenUsed/>
    <w:pPr>
      <w:ind w:left="1984" w:right="0" w:firstLine="0"/>
      <w:spacing w:after="57"/>
    </w:pPr>
  </w:style>
  <w:style w:type="paragraph" w:styleId="763">
    <w:name w:val="toc 9 dcd1ccaf8d4ce53d0195a6b1a6e292f3"/>
    <w:basedOn w:val="764"/>
    <w:uiPriority w:val="39"/>
    <w:unhideWhenUsed/>
    <w:pPr>
      <w:ind w:left="2268" w:right="0" w:firstLine="0"/>
      <w:spacing w:after="57"/>
    </w:pPr>
  </w:style>
  <w:style w:type="paragraph" w:styleId="764">
    <w:name w:val="Normal dcd1ccaf8d4ce53d0195a6b1a6e292f3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65">
    <w:name w:val="Default Paragraph Font dcd1ccaf8d4ce53d0195a6b1a6e292f3"/>
    <w:uiPriority w:val="1"/>
    <w:semiHidden/>
    <w:unhideWhenUsed/>
  </w:style>
  <w:style w:type="numbering" w:styleId="766">
    <w:name w:val="No List dcd1ccaf8d4ce53d0195a6b1a6e292f3"/>
    <w:uiPriority w:val="99"/>
    <w:semiHidden/>
    <w:unhideWhenUsed/>
  </w:style>
  <w:style w:type="table" w:styleId="767">
    <w:name w:val="Normal Table dcd1ccaf8d4ce53d0195a6b1a6e292f3"/>
    <w:uiPriority w:val="99"/>
    <w:semiHidden/>
    <w:unhideWhenUsed/>
    <w:tblPr/>
  </w:style>
  <w:style w:type="character" w:styleId="768">
    <w:name w:val="Hyperlink 60c685f8c056a55a6dd0658881744171"/>
    <w:uiPriority w:val="99"/>
    <w:unhideWhenUsed/>
    <w:rPr>
      <w:color w:val="0000FF" w:themeColor="hyperlink"/>
      <w:u w:val="single"/>
    </w:rPr>
  </w:style>
  <w:style w:type="paragraph" w:styleId="769">
    <w:name w:val="toc 1 60c685f8c056a55a6dd0658881744171"/>
    <w:basedOn w:val="778"/>
    <w:uiPriority w:val="39"/>
    <w:unhideWhenUsed/>
    <w:pPr>
      <w:ind w:left="0" w:right="0" w:firstLine="0"/>
      <w:spacing w:after="57"/>
    </w:pPr>
  </w:style>
  <w:style w:type="paragraph" w:styleId="770">
    <w:name w:val="toc 2 60c685f8c056a55a6dd0658881744171"/>
    <w:basedOn w:val="778"/>
    <w:uiPriority w:val="39"/>
    <w:unhideWhenUsed/>
    <w:pPr>
      <w:ind w:left="283" w:right="0" w:firstLine="0"/>
      <w:spacing w:after="57"/>
    </w:pPr>
  </w:style>
  <w:style w:type="paragraph" w:styleId="771">
    <w:name w:val="toc 3 60c685f8c056a55a6dd0658881744171"/>
    <w:basedOn w:val="778"/>
    <w:uiPriority w:val="39"/>
    <w:unhideWhenUsed/>
    <w:pPr>
      <w:ind w:left="567" w:right="0" w:firstLine="0"/>
      <w:spacing w:after="57"/>
    </w:pPr>
  </w:style>
  <w:style w:type="paragraph" w:styleId="772">
    <w:name w:val="toc 4 60c685f8c056a55a6dd0658881744171"/>
    <w:basedOn w:val="778"/>
    <w:uiPriority w:val="39"/>
    <w:unhideWhenUsed/>
    <w:pPr>
      <w:ind w:left="850" w:right="0" w:firstLine="0"/>
      <w:spacing w:after="57"/>
    </w:pPr>
  </w:style>
  <w:style w:type="paragraph" w:styleId="773">
    <w:name w:val="toc 5 60c685f8c056a55a6dd0658881744171"/>
    <w:basedOn w:val="778"/>
    <w:uiPriority w:val="39"/>
    <w:unhideWhenUsed/>
    <w:pPr>
      <w:ind w:left="1134" w:right="0" w:firstLine="0"/>
      <w:spacing w:after="57"/>
    </w:pPr>
  </w:style>
  <w:style w:type="paragraph" w:styleId="774">
    <w:name w:val="toc 6 60c685f8c056a55a6dd0658881744171"/>
    <w:basedOn w:val="778"/>
    <w:uiPriority w:val="39"/>
    <w:unhideWhenUsed/>
    <w:pPr>
      <w:ind w:left="1417" w:right="0" w:firstLine="0"/>
      <w:spacing w:after="57"/>
    </w:pPr>
  </w:style>
  <w:style w:type="paragraph" w:styleId="775">
    <w:name w:val="toc 7 60c685f8c056a55a6dd0658881744171"/>
    <w:basedOn w:val="778"/>
    <w:uiPriority w:val="39"/>
    <w:unhideWhenUsed/>
    <w:pPr>
      <w:ind w:left="1701" w:right="0" w:firstLine="0"/>
      <w:spacing w:after="57"/>
    </w:pPr>
  </w:style>
  <w:style w:type="paragraph" w:styleId="776">
    <w:name w:val="toc 8 60c685f8c056a55a6dd0658881744171"/>
    <w:basedOn w:val="778"/>
    <w:uiPriority w:val="39"/>
    <w:unhideWhenUsed/>
    <w:pPr>
      <w:ind w:left="1984" w:right="0" w:firstLine="0"/>
      <w:spacing w:after="57"/>
    </w:pPr>
  </w:style>
  <w:style w:type="paragraph" w:styleId="777">
    <w:name w:val="toc 9 60c685f8c056a55a6dd0658881744171"/>
    <w:basedOn w:val="778"/>
    <w:uiPriority w:val="39"/>
    <w:unhideWhenUsed/>
    <w:pPr>
      <w:ind w:left="2268" w:right="0" w:firstLine="0"/>
      <w:spacing w:after="57"/>
    </w:pPr>
  </w:style>
  <w:style w:type="paragraph" w:styleId="778">
    <w:name w:val="Normal 60c685f8c056a55a6dd0658881744171"/>
    <w:pPr>
      <w:widowControl w:val="off"/>
    </w:pPr>
    <w:rPr>
      <w:rFonts w:ascii="Liberation Serif" w:hAnsi="Liberation Serif" w:cs="Mangal" w:eastAsia="SimSun"/>
      <w:color w:val="auto"/>
      <w:sz w:val="24"/>
      <w:szCs w:val="24"/>
      <w:lang w:val="it-IT" w:bidi="hi-IN" w:eastAsia="zh-CN"/>
    </w:rPr>
  </w:style>
  <w:style w:type="character" w:styleId="779">
    <w:name w:val="Default Paragraph Font 60c685f8c056a55a6dd0658881744171"/>
    <w:uiPriority w:val="1"/>
    <w:semiHidden/>
    <w:unhideWhenUsed/>
  </w:style>
  <w:style w:type="numbering" w:styleId="780">
    <w:name w:val="No List 60c685f8c056a55a6dd0658881744171"/>
    <w:uiPriority w:val="99"/>
    <w:semiHidden/>
    <w:unhideWhenUsed/>
  </w:style>
  <w:style w:type="table" w:styleId="781">
    <w:name w:val="Normal Table 60c685f8c056a55a6dd0658881744171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it-IT</dc:language>
  <cp:lastModifiedBy>s.burghiani</cp:lastModifiedBy>
  <cp:revision>14</cp:revision>
  <dcterms:created xsi:type="dcterms:W3CDTF">2016-01-21T15:36:37Z</dcterms:created>
  <dcterms:modified xsi:type="dcterms:W3CDTF">2026-05-14T07:07:11Z</dcterms:modified>
</cp:coreProperties>
</file>