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tabs>
          <w:tab w:val="left" w:pos="708" w:leader="none"/>
          <w:tab w:val="center" w:pos="4819" w:leader="none"/>
          <w:tab w:val="right" w:pos="9638" w:leader="none"/>
        </w:tabs>
        <w:rPr>
          <w:rFonts w:ascii="Tahoma" w:hAnsi="Tahoma" w:cs="Tahoma" w:eastAsia="Times New Roman"/>
          <w:lang w:eastAsia="it-IT"/>
        </w:rPr>
      </w:pPr>
      <w:r>
        <w:rPr>
          <w:rFonts w:ascii="Tahoma" w:hAnsi="Tahoma" w:cs="Tahoma" w:eastAsia="Times New Roman"/>
          <w:b/>
          <w:lang w:eastAsia="it-IT"/>
        </w:rPr>
      </w:r>
      <w:r>
        <w:rPr>
          <w:rFonts w:ascii="Tahoma" w:hAnsi="Tahoma" w:cs="Tahoma" w:eastAsia="Times New Roman"/>
          <w:lang w:eastAsia="it-IT"/>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PROPOSTA DI DELIBERAZIONE</w:t>
      </w:r>
      <w:r>
        <w:rPr>
          <w:rFonts w:ascii="Arial" w:hAnsi="Arial" w:cs="Arial" w:eastAsia="Arial"/>
          <w:sz w:val="24"/>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b/>
          <w:sz w:val="24"/>
          <w:lang w:eastAsia="it-IT"/>
        </w:rPr>
        <w:t xml:space="preserve">DEL CONSIGLIO COMUNALE</w:t>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highlight w:val="none"/>
        </w:rPr>
      </w:pPr>
      <w:r>
        <w:rPr>
          <w:rFonts w:ascii="Arial" w:hAnsi="Arial" w:cs="Arial" w:eastAsia="Arial"/>
          <w:sz w:val="24"/>
          <w:highlight w:val="none"/>
        </w:rPr>
      </w:r>
      <w:r>
        <w:rPr>
          <w:rFonts w:ascii="Arial" w:hAnsi="Arial" w:cs="Arial" w:eastAsia="Arial"/>
          <w:sz w:val="24"/>
          <w:highlight w:val="none"/>
        </w:rPr>
      </w:r>
      <w:r/>
    </w:p>
    <w:p>
      <w:pPr>
        <w:jc w:val="center"/>
        <w:tabs>
          <w:tab w:val="left" w:pos="708" w:leader="none"/>
          <w:tab w:val="center" w:pos="4819" w:leader="none"/>
          <w:tab w:val="right" w:pos="9638" w:leader="none"/>
        </w:tabs>
        <w:rPr>
          <w:rFonts w:ascii="Arial" w:hAnsi="Arial" w:cs="Arial" w:eastAsia="Arial"/>
        </w:rPr>
      </w:pPr>
      <w:r>
        <w:rPr>
          <w:rFonts w:ascii="Arial" w:hAnsi="Arial" w:cs="Arial" w:eastAsia="Arial"/>
          <w:b/>
          <w:sz w:val="24"/>
          <w:highlight w:val="none"/>
          <w:lang w:eastAsia="it-IT"/>
        </w:rPr>
        <w:t xml:space="preserve">n. </w:t>
      </w:r>
      <w:r>
        <w:rPr>
          <w:rFonts w:ascii="Arial" w:hAnsi="Arial" w:cs="Arial" w:eastAsia="Arial"/>
          <w:b/>
          <w:sz w:val="24"/>
          <w:lang w:eastAsia="it-IT"/>
        </w:rPr>
        <w:t xml:space="preserve">558 del </w:t>
      </w:r>
      <w:r>
        <w:rPr>
          <w:rFonts w:ascii="Arial" w:hAnsi="Arial" w:cs="Arial" w:eastAsia="Arial"/>
          <w:b/>
          <w:sz w:val="24"/>
          <w:lang w:eastAsia="it-IT"/>
        </w:rPr>
        <w:t xml:space="preserve">14/05/2026</w:t>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szCs w:val="14"/>
          <w:lang w:eastAsia="it-IT"/>
        </w:rPr>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Pr>
      <w:r>
        <w:rPr>
          <w:rFonts w:ascii="Arial" w:hAnsi="Arial" w:cs="Arial" w:eastAsia="Arial"/>
          <w:b/>
          <w:sz w:val="24"/>
          <w:lang w:eastAsia="it-IT"/>
        </w:rPr>
        <w:t xml:space="preserve">OGGETTO:</w:t>
      </w:r>
      <w:r>
        <w:rPr>
          <w:rFonts w:ascii="Arial" w:hAnsi="Arial" w:cs="Arial" w:eastAsia="Arial"/>
          <w:sz w:val="24"/>
        </w:rPr>
      </w:r>
      <w:r/>
    </w:p>
    <w:p>
      <w:pPr>
        <w:rPr>
          <w:rFonts w:ascii="Arial" w:hAnsi="Arial" w:cs="Arial" w:eastAsia="Arial"/>
        </w:rPr>
      </w:pPr>
      <w:r>
        <w:rPr>
          <w:rFonts w:ascii="Arial" w:hAnsi="Arial" w:cs="Arial" w:eastAsia="Arial"/>
          <w:b/>
          <w:sz w:val="24"/>
          <w:lang w:eastAsia="it-IT"/>
        </w:rPr>
        <w:t xml:space="preserve">CONVENZIONE TRA ENTI PER IL CONFERIMENTO DI UN INCARICO AD UN PROFESSIONISTA ESPERTO PER LA COSTITUZIONE DI UNA SOCIETÀ IN HOUSE PROVIDING PER LA GESTIONE UNICA DEL SERVIZIO IDRICO INTEGRATO NELL'AMBITO DI COMPETENZA DELL'ATO 3 MARCHE CENTRO-MACERATA. </w:t>
      </w:r>
      <w:r>
        <w:rPr>
          <w:rFonts w:ascii="Arial" w:hAnsi="Arial" w:cs="Arial" w:eastAsia="Arial"/>
          <w:sz w:val="24"/>
        </w:rPr>
      </w:r>
      <w:r/>
    </w:p>
    <w:p>
      <w:pPr>
        <w:jc w:val="both"/>
        <w:tabs>
          <w:tab w:val="left" w:pos="708" w:leader="none"/>
          <w:tab w:val="center" w:pos="4819" w:leader="none"/>
          <w:tab w:val="right" w:pos="9638" w:leader="none"/>
        </w:tabs>
        <w:rPr>
          <w:rFonts w:ascii="Arial" w:hAnsi="Arial" w:cs="Arial" w:eastAsia="Arial"/>
        </w:rPr>
        <w:pBdr>
          <w:bottom w:val="single" w:color="000000" w:sz="6" w:space="0"/>
        </w:pBdr>
      </w:pPr>
      <w:r>
        <w:rPr>
          <w:rFonts w:ascii="Arial" w:hAnsi="Arial" w:cs="Arial" w:eastAsia="Arial"/>
          <w:sz w:val="24"/>
          <w:lang w:eastAsia="it-IT"/>
        </w:rPr>
      </w:r>
      <w:r>
        <w:rPr>
          <w:rFonts w:ascii="Arial" w:hAnsi="Arial" w:cs="Arial" w:eastAsia="Arial"/>
          <w:sz w:val="24"/>
        </w:rPr>
      </w:r>
      <w:r/>
    </w:p>
    <w:p>
      <w:pPr>
        <w:tabs>
          <w:tab w:val="left" w:pos="708" w:leader="none"/>
          <w:tab w:val="center" w:pos="4819" w:leader="none"/>
          <w:tab w:val="right" w:pos="9638" w:leader="none"/>
        </w:tabs>
        <w:rPr>
          <w:rFonts w:ascii="Arial" w:hAnsi="Arial" w:cs="Arial" w:eastAsia="Arial"/>
        </w:rPr>
      </w:pPr>
      <w:r>
        <w:rPr>
          <w:rFonts w:ascii="Arial" w:hAnsi="Arial" w:cs="Arial" w:eastAsia="Arial"/>
          <w:sz w:val="24"/>
          <w:lang w:eastAsia="it-IT"/>
        </w:rPr>
      </w:r>
      <w:r>
        <w:rPr>
          <w:rFonts w:ascii="Arial" w:hAnsi="Arial" w:cs="Arial" w:eastAsia="Arial"/>
          <w:sz w:val="24"/>
        </w:rPr>
      </w:r>
      <w:r/>
    </w:p>
    <w:p>
      <w:pPr>
        <w:pStyle w:val="764"/>
      </w:pPr>
      <w:r/>
      <w:r/>
    </w:p>
    <w:p>
      <w:pPr>
        <w:jc w:val="center"/>
        <w:rPr>
          <w:rFonts w:ascii="Arial" w:hAnsi="Arial" w:cs="Arial" w:eastAsia="Arial"/>
          <w:b/>
          <w:sz w:val="24"/>
          <w:highlight w:val="none"/>
        </w:rPr>
      </w:pPr>
      <w:r>
        <w:rPr>
          <w:rFonts w:ascii="Arial" w:hAnsi="Arial" w:cs="Arial" w:eastAsia="Arial"/>
          <w:b/>
          <w:sz w:val="24"/>
          <w:highlight w:val="none"/>
        </w:rPr>
      </w:r>
      <w:r>
        <w:rPr>
          <w:rFonts w:ascii="Arial" w:hAnsi="Arial" w:cs="Arial" w:eastAsia="Arial"/>
          <w:b/>
          <w:sz w:val="24"/>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Oggetto: Convenzione tra Enti per il conferimento di un incarico ad un professionista esperto nella costituzione di una Società </w:t>
      </w:r>
      <w:r>
        <w:rPr>
          <w:rFonts w:ascii="Times New Roman" w:hAnsi="Times New Roman" w:cs="Times New Roman" w:eastAsia="Times New Roman"/>
          <w:b/>
          <w:i/>
          <w:color w:val="000000"/>
          <w:sz w:val="24"/>
        </w:rPr>
        <w:t xml:space="preserve">in house providing</w:t>
      </w:r>
      <w:r>
        <w:rPr>
          <w:rFonts w:ascii="Times New Roman" w:hAnsi="Times New Roman" w:cs="Times New Roman" w:eastAsia="Times New Roman"/>
          <w:b/>
          <w:color w:val="000000"/>
          <w:sz w:val="24"/>
        </w:rPr>
        <w:t xml:space="preserve"> per la gestione unica del Servizio Idrico Integrato nell’Ambito di competenza dell’ATO 3 Marche Centro-Macerata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IL CONSIGLIO COMUNALE</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Premesso che: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ai sensi della Legge della Regione Marche, 28 dicembre 2011, n. 30, rubricata “Disposizioni in materia di risorse idriche e di servizio idrico integrato”, ed a seguito dell’approvazione e sottoscrizione da parte degli Enti ricadenti nell’AATO 3 Marche Ce</w:t>
      </w:r>
      <w:r>
        <w:rPr>
          <w:rFonts w:ascii="Times New Roman" w:hAnsi="Times New Roman" w:cs="Times New Roman" w:eastAsia="Times New Roman"/>
          <w:color w:val="000000"/>
          <w:sz w:val="24"/>
        </w:rPr>
        <w:t xml:space="preserve">ntro della “Convenzione per la costituzione dell’Assemblea di Ambito”, è stata istituita con delibera assembleare n. 1/2015 del 03 novembre 2015 l’Assemblea di Ambito territoriale ottimale n. 3 Marche Centro-Macerata (A.A.t.o. 3);</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l’Assemblea di Ambito territoriale ottimale n. 3 Marche Centro-Macerata, Ente di regolazione dei servizi idrici, è una forma associativa obbligatoria tra le Province di Macerata e di Ancona e i 46 Comuni ricadenti nell’Ambito individuati con la Legge reg</w:t>
      </w:r>
      <w:r>
        <w:rPr>
          <w:rFonts w:ascii="Times New Roman" w:hAnsi="Times New Roman" w:cs="Times New Roman" w:eastAsia="Times New Roman"/>
          <w:color w:val="000000"/>
          <w:sz w:val="24"/>
        </w:rPr>
        <w:t xml:space="preserve">ionale 30/2011 suddetta;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il Comune di Osimo partecipa all’AATO 3 esercitando le prerogative di voto in misura proporzionale alla quota di partecipazione del 6.78 %, determinata ai sensi dell’art. 5, comma 5, della Legge regionale n. 30/2011;</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 con delibera del Consiglio Comunale n. 63 del 27/10/2025, parallelamente agli altri comuni partecipanti, questo ente ha disposto l’avvio di un percorso costitutivo di una società consortile, comprendente le varie società di gestione operanti nel terr</w:t>
      </w:r>
      <w:r>
        <w:rPr>
          <w:rFonts w:ascii="Times New Roman" w:hAnsi="Times New Roman" w:cs="Times New Roman" w:eastAsia="Times New Roman"/>
          <w:color w:val="000000"/>
          <w:sz w:val="24"/>
        </w:rPr>
        <w:t xml:space="preserve">itorio amministrato dall’AATO 3 Marche;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le proposte formulate dai gestori del Servizio Idrico Integrato dell’AATO 3 in relazione alla gestione unitaria del servizio, riassunte nelle deliberazioni dei Consigli comunali degli Enti sopra rappresentati, venivano sottoposte al vaglio della Sezione </w:t>
      </w:r>
      <w:r>
        <w:rPr>
          <w:rFonts w:ascii="Times New Roman" w:hAnsi="Times New Roman" w:cs="Times New Roman" w:eastAsia="Times New Roman"/>
          <w:color w:val="000000"/>
          <w:sz w:val="24"/>
        </w:rPr>
        <w:t xml:space="preserve">di controllo per la Regione Marche della Corte dei Conti e dell’Autorità Garante per la Concorrenza ed il Mercato (AGCM), ai sensi dell’art. 5 del Dlgs. n. 175 del 2016 (TUSP);</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i suddetti enti di controllo hanno riscontrato carenze motivazionali non superabili nei documenti inviati e reso pareri negativi;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successivamente l’AATO 3, con delibera n. 38 del 30 dicembre 2025, ha disposto una proroga fino al 31 dicembre 2026 delle gestioni del Servizio Idrico Integrato in essere, per dar modo ai Comuni interessati di predisporre gli atti per il nuovo affidament</w:t>
      </w:r>
      <w:r>
        <w:rPr>
          <w:rFonts w:ascii="Times New Roman" w:hAnsi="Times New Roman" w:cs="Times New Roman" w:eastAsia="Times New Roman"/>
          <w:color w:val="000000"/>
          <w:sz w:val="24"/>
        </w:rPr>
        <w:t xml:space="preserve">o del servizio, rivedendo, alla luce delle indicazioni date dagli organi di controllo preposti, l’iter procedurale inizialmente avviato;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Rilevato, in particolare, che: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al fine di predisporre i suddetti atti l’Assemblea d’Ambito, con l’atto n. 36, in data 23 dicembre 2025, formulava il seguente indirizzo: “</w:t>
      </w:r>
      <w:r>
        <w:rPr>
          <w:rFonts w:ascii="Times New Roman" w:hAnsi="Times New Roman" w:cs="Times New Roman" w:eastAsia="Times New Roman"/>
          <w:i/>
          <w:color w:val="000000"/>
          <w:sz w:val="24"/>
        </w:rPr>
        <w:t xml:space="preserve">vista la volontà dei componenti l’Assemblea di conformarsi alle osservazioni e ai rilievi prodotti dalla Corte dei Conti e dall’AGCM ridefinendo un percorso che consenta comunque di procedere con la costituzione di una società a capitale interamente pubbli</w:t>
      </w:r>
      <w:r>
        <w:rPr>
          <w:rFonts w:ascii="Times New Roman" w:hAnsi="Times New Roman" w:cs="Times New Roman" w:eastAsia="Times New Roman"/>
          <w:i/>
          <w:color w:val="000000"/>
          <w:sz w:val="24"/>
        </w:rPr>
        <w:t xml:space="preserve">co, dare un mandato esplorativo all’Avvocato indicato durante la discussione (Avv. Fabio Cintioli) al fine di conferire un incarico che porti all’individuazione del percorso che consenta di conformarsi alle prescrizioni della Corte dei Conti e dell’Autorit</w:t>
      </w:r>
      <w:r>
        <w:rPr>
          <w:rFonts w:ascii="Times New Roman" w:hAnsi="Times New Roman" w:cs="Times New Roman" w:eastAsia="Times New Roman"/>
          <w:i/>
          <w:color w:val="000000"/>
          <w:sz w:val="24"/>
        </w:rPr>
        <w:t xml:space="preserve">à antitrust e, ai Comuni, di modificare le delibere dei Consigli comunali già adottate</w:t>
      </w: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successivamente, con delibera n. 3 del 12 febbraio 2026, l’Assemblea d’Ambito stabiliva, tra l’altro, i seguenti ulteriori indirizzi: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w:t>
      </w:r>
      <w:r>
        <w:rPr>
          <w:rFonts w:ascii="Times New Roman" w:hAnsi="Times New Roman" w:cs="Times New Roman" w:eastAsia="Times New Roman"/>
          <w:i/>
          <w:color w:val="000000"/>
          <w:sz w:val="24"/>
        </w:rPr>
        <w:t xml:space="preserve">di dare mandato al Presidente di procedere con l’interlocuzione con il professor Marcello Clarich al fine di fargli predisporre un progetto di costituzione del gestore unico di Ambito che possa legittimamente essere affidatario della gestione in house del </w:t>
      </w:r>
      <w:r>
        <w:rPr>
          <w:rFonts w:ascii="Times New Roman" w:hAnsi="Times New Roman" w:cs="Times New Roman" w:eastAsia="Times New Roman"/>
          <w:i/>
          <w:color w:val="000000"/>
          <w:sz w:val="24"/>
        </w:rPr>
        <w:t xml:space="preserve">servizio idrico per i prossimi 25 anni;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w:t>
        <w:tab/>
        <w:t xml:space="preserve">di prendere atto della disponibilità della Provincia di Macerata a fare da capofila per l’attuazione della convenzione che servirà per dare l’incarico al professionista che verrà individuato</w:t>
      </w: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con la delibera n. 6 del 19 febbraio 2026, l’Assemblea d’Ambito deliberava, altresì:</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r>
      <w:r>
        <w:rPr>
          <w:rFonts w:ascii="Times New Roman" w:hAnsi="Times New Roman" w:cs="Times New Roman" w:eastAsia="Times New Roman"/>
          <w:i/>
          <w:color w:val="000000"/>
          <w:sz w:val="24"/>
        </w:rPr>
        <w:t xml:space="preserve">di prendere atto dell’interlocuzione con il professor Marcello Clarich e del suo esito;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i/>
          <w:color w:val="000000"/>
          <w:sz w:val="24"/>
        </w:rPr>
        <w:t xml:space="preserve">·</w:t>
        <w:tab/>
        <w:t xml:space="preserve">di recepire la manifestazione fatta dal Presidente della Provincia di Macerata di proseguire, in qualità di Ente capofila degli altri Comuni componenti l’Assemblea, le interlocuzioni con il professor Marcello Clarich, riformulando la proposta presentata </w:t>
      </w:r>
      <w:r>
        <w:rPr>
          <w:rFonts w:ascii="Times New Roman" w:hAnsi="Times New Roman" w:cs="Times New Roman" w:eastAsia="Times New Roman"/>
          <w:i/>
          <w:color w:val="000000"/>
          <w:sz w:val="24"/>
        </w:rPr>
        <w:t xml:space="preserve">eliminando l’attività iniziale di redazione del parere sulla consortile - poiché i pareri AGCM e Corte dei Conti hanno già evidenziato a sufficienza l’inopportunità di procedere con tale configurazione - e conferendo allo stesso uno specifico incarico prof</w:t>
      </w:r>
      <w:r>
        <w:rPr>
          <w:rFonts w:ascii="Times New Roman" w:hAnsi="Times New Roman" w:cs="Times New Roman" w:eastAsia="Times New Roman"/>
          <w:i/>
          <w:color w:val="000000"/>
          <w:sz w:val="24"/>
        </w:rPr>
        <w:t xml:space="preserve">essionale al fine di giungere alla costituzione di un gestore unico del servizio idrico integrato nella forma di una società</w:t>
      </w:r>
      <w:r>
        <w:rPr>
          <w:rFonts w:ascii="Times New Roman" w:hAnsi="Times New Roman" w:cs="Times New Roman" w:eastAsia="Times New Roman"/>
          <w:color w:val="000000"/>
          <w:sz w:val="24"/>
        </w:rPr>
        <w:t xml:space="preserve"> “</w:t>
      </w:r>
      <w:r>
        <w:rPr>
          <w:rFonts w:ascii="Times New Roman" w:hAnsi="Times New Roman" w:cs="Times New Roman" w:eastAsia="Times New Roman"/>
          <w:i/>
          <w:color w:val="000000"/>
          <w:sz w:val="24"/>
        </w:rPr>
        <w:t xml:space="preserve">in house providing</w:t>
      </w:r>
      <w:r>
        <w:rPr>
          <w:rFonts w:ascii="Times New Roman" w:hAnsi="Times New Roman" w:cs="Times New Roman" w:eastAsia="Times New Roman"/>
          <w:color w:val="000000"/>
          <w:sz w:val="24"/>
        </w:rPr>
        <w:t xml:space="preserv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che la Provincia di Macerata ha accettato, con il consenso degli altri Enti interessati e facenti parte dell’Assemblea dell’ATO 3, di ricoprire il ruolo di Ente capofila;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nota, prot. n. 7537 del 13/03/2026, acquisita al nostro prot. al n. 9363 del 13.03.2026, con la quale la Presidenza della Provincia procedeva a inoltrare ai Comuni facenti parte dell’Assemblea di Ambito Territoriale Ottimale n. 3 la seguente docu</w:t>
      </w:r>
      <w:r>
        <w:rPr>
          <w:rFonts w:ascii="Times New Roman" w:hAnsi="Times New Roman" w:cs="Times New Roman" w:eastAsia="Times New Roman"/>
          <w:color w:val="000000"/>
          <w:sz w:val="24"/>
        </w:rPr>
        <w:t xml:space="preserve">mentazione: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lo schema di Convenzione tra Enti per il conferimento di un incarico ad un professionista esperto nella costituzione di una Società </w:t>
      </w:r>
      <w:r>
        <w:rPr>
          <w:rFonts w:ascii="Times New Roman" w:hAnsi="Times New Roman" w:cs="Times New Roman" w:eastAsia="Times New Roman"/>
          <w:i/>
          <w:color w:val="000000"/>
          <w:sz w:val="24"/>
        </w:rPr>
        <w:t xml:space="preserve">in house providing</w:t>
      </w:r>
      <w:r>
        <w:rPr>
          <w:rFonts w:ascii="Times New Roman" w:hAnsi="Times New Roman" w:cs="Times New Roman" w:eastAsia="Times New Roman"/>
          <w:color w:val="000000"/>
          <w:sz w:val="24"/>
        </w:rPr>
        <w:t xml:space="preserve"> finalizzata alla gestione unica del Servizio Idrico Integrato nell’Ambito di competenza dell’AATO 3 Marche Centro-Macerata;</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-uno schema di deliberazione consiliare per i Comuni;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tabella percentuale di ripartizione delle quote;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restano a carico dei Comuni firmatari della Convenzione, ai sensi dell’art. 6 della Convenzione: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l’obbligo di versare alla Provincia di Macerata, Ente capofila, la quota parte delle somme di competenza individuate secondo le percentuali di cui alla tabella in allegato, determinate secondo i criteri sottoelencati: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1.</w:t>
        <w:tab/>
        <w:t xml:space="preserve">criterio della popolazione residente;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w:t>
        <w:tab/>
        <w:t xml:space="preserve">criterio dell’estensione territoriale.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una volta approvata la presente convenzione e definita la cifra da versare, l’impegno a vincolare con apposite determine dirigenziali la quota di competenza nei rispettivi bilanci e a comunicarne alla Provincia di Macerata gli estremi entro 5 (cinque) gi</w:t>
      </w:r>
      <w:r>
        <w:rPr>
          <w:rFonts w:ascii="Times New Roman" w:hAnsi="Times New Roman" w:cs="Times New Roman" w:eastAsia="Times New Roman"/>
          <w:color w:val="000000"/>
          <w:sz w:val="24"/>
        </w:rPr>
        <w:t xml:space="preserve">orni dall’adozione;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l’impegno ad erogare alla Provincia la quota di propria competenza entro 30 giorni dalla richiesta;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 nota pr</w:t>
      </w:r>
      <w:r>
        <w:rPr>
          <w:rFonts w:ascii="Times New Roman" w:hAnsi="Times New Roman" w:cs="Times New Roman" w:eastAsia="Times New Roman"/>
          <w:color w:val="000000"/>
          <w:sz w:val="24"/>
        </w:rPr>
        <w:t xml:space="preserve">ot. 12103 del 21/04/2026, allegata al presente atto, con la quale la Provincia di Macerata ha comunicato successivamente di aver acquisito dal prot. Marcello Clarich il preventivo di spesa per la prestazione dei servizi giuridico amministrativo di supporto</w:t>
      </w:r>
      <w:r>
        <w:rPr>
          <w:rFonts w:ascii="Times New Roman" w:hAnsi="Times New Roman" w:cs="Times New Roman" w:eastAsia="Times New Roman"/>
          <w:color w:val="000000"/>
          <w:sz w:val="24"/>
        </w:rPr>
        <w:t xml:space="preserve"> alla Provincia di Macerata e ai comuni finalizzati alla progettazione del percorso di costituzione di un soggetto unico per la gestione del servizio idrico integrato;</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il compenso complessivo richiesto per la fase 1 e 2 dell’attività di assistenza, distinta in due fasi successive, ammonta a € 80.000,00 + CNP e 22% di IVA per un totale di € 101.504,00, oltre a </w:t>
        <w:tab/>
        <w:t xml:space="preserve">spese per trasferte, forfettariamente e presumi</w:t>
      </w:r>
      <w:r>
        <w:rPr>
          <w:rFonts w:ascii="Times New Roman" w:hAnsi="Times New Roman" w:cs="Times New Roman" w:eastAsia="Times New Roman"/>
          <w:color w:val="000000"/>
          <w:sz w:val="24"/>
        </w:rPr>
        <w:t xml:space="preserve">bilmente previste in € 500,00;</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 la cifra di cui sopra deve essere ripartita tra tutti i Comuni interessati e facenti parte dell’Ambito Territoriale Ottimale;</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Considerato che si rende necessario approvare, a tal proposito, specifica convenzione che disciplini i rapporti anche contabili tra l’Ente capofila e i Comuni che dovranno farsi carico della spesa;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Vista l’allegata bozza di convenzione, che si compone di n. 7 articoli e che viene allegata al presente atto per farne parte integrante e sostanziale;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atto che, restano a carico dei Comuni firmatari della Convenzione, ai sensi dell’art. 6 della Convenzione: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l’obbligo di versare alla Provincia di Macerata, Ente capofila, la quota parte delle somme di competenza individuate secondo le percentuali di cui alla tabella in allegato, determinate secondo i criteri sottoelencati: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1.</w:t>
        <w:tab/>
        <w:t xml:space="preserve">criterio della popolazione residente;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2.</w:t>
        <w:tab/>
        <w:t xml:space="preserve">criterio dell’estensione territoriale.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una volta approvata la presente convenzione e definita la cifra da versare, l’impegno a vincolare con apposite determine dirigenziali la quota di competenza nei rispettivi bilanci e a comunicarne alla Provincia di Macerata gli estremi entro 5 (cinque) gi</w:t>
      </w:r>
      <w:r>
        <w:rPr>
          <w:rFonts w:ascii="Times New Roman" w:hAnsi="Times New Roman" w:cs="Times New Roman" w:eastAsia="Times New Roman"/>
          <w:color w:val="000000"/>
          <w:sz w:val="24"/>
        </w:rPr>
        <w:t xml:space="preserve">orni dall’adozione;</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w:t>
        <w:tab/>
        <w:t xml:space="preserve">l’impegno ad erogare alla Provincia la quota di propria competenza entro 30 giorni dalla richiesta;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Dato att</w:t>
      </w:r>
      <w:r>
        <w:rPr>
          <w:rFonts w:ascii="Times New Roman" w:hAnsi="Times New Roman" w:cs="Times New Roman" w:eastAsia="Times New Roman"/>
          <w:color w:val="000000"/>
          <w:sz w:val="24"/>
        </w:rPr>
        <w:t xml:space="preserve">o che la spesa a carico del comune di Osimo è pari al 7,25% per un importo stimato di Euro 7.395,29, che trova copertura alla Missione 1 – Programma 11 – Piano Finanziario 1.3.2.11.6 – voce "Patrocinio legale" – Cap. 138 "Prestazioni di servizi, spese lega</w:t>
      </w:r>
      <w:r>
        <w:rPr>
          <w:rFonts w:ascii="Times New Roman" w:hAnsi="Times New Roman" w:cs="Times New Roman" w:eastAsia="Times New Roman"/>
          <w:color w:val="000000"/>
          <w:sz w:val="24"/>
        </w:rPr>
        <w:t xml:space="preserve">li, ecc." del Bilancio di previsione 2026/2028 – Esercizio 2026;</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Acquisiti i pareri favorevoli di regolarità tecnica e correttezza amministrativa, espresso dal Dirigente del Dipartimento Affari generali ai sensi dell’art. 49 e 147bis del d.lgs. 267 del 2000 e di regolarità contabile espresso dal Responsabile del Diparti</w:t>
      </w:r>
      <w:r>
        <w:rPr>
          <w:rFonts w:ascii="Times New Roman" w:hAnsi="Times New Roman" w:cs="Times New Roman" w:eastAsia="Times New Roman"/>
          <w:color w:val="000000"/>
          <w:sz w:val="24"/>
        </w:rPr>
        <w:t xml:space="preserve">mento Finanze ai sensi dell’art. 49;</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il D.Lgs. n. 267 del 2000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Visto il vigente statuto dell’Ente;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Con il seguente risultato della votazione: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Presenti………..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Votanti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Voti favorevoli………..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Voti contrari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Astenuti:…………</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richiamare le premesse quali parte integrante e sostanziale del presente atto deliberativo;</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approvare, per le causali in premessa espresse, lo schema di convenzione per il conferimento di un incarico ad un professionista per la costituzione di una Società in house providing, finalizzata alla gestione unica del Servizio Idrico Integrato nell’Am</w:t>
      </w:r>
      <w:r>
        <w:rPr>
          <w:rFonts w:ascii="Times New Roman" w:hAnsi="Times New Roman" w:cs="Times New Roman" w:eastAsia="Times New Roman"/>
          <w:color w:val="000000"/>
          <w:sz w:val="24"/>
        </w:rPr>
        <w:t xml:space="preserve">bito di competenza dell’AATO 3 Marche Centro- Macerata, che si compone di n. 7 articoli e che allegata costituisce parte integrante e sostanziale del presente atto;</w:t>
      </w:r>
      <w:r/>
    </w:p>
    <w:p>
      <w:pPr>
        <w:ind w:left="708" w:right="0" w:firstLine="0"/>
        <w:spacing w:before="0" w:after="200" w:line="253"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con la suddetta convenzione vengono disciplinati i rapporti, anche finanziari, dell’azione amministrativa da porre in essere;</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nominare Ente capofila dell’attività amministrativa in questione la Provincia di Macerata</w:t>
      </w:r>
      <w:r>
        <w:rPr>
          <w:rFonts w:ascii="Calibri" w:hAnsi="Calibri" w:cs="Calibri" w:eastAsia="Calibri"/>
          <w:color w:val="000000"/>
          <w:sz w:val="22"/>
        </w:rPr>
        <w:t xml:space="preserve">;</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dare atto che l’importo del compenso previsto, oggetto della convenzione, è il seguente:</w:t>
      </w:r>
      <w:r/>
    </w:p>
    <w:p>
      <w:pPr>
        <w:numPr>
          <w:ilvl w:val="0"/>
          <w:numId w:val="3"/>
        </w:numPr>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il compenso complessivo richiesto per la fase 1 e 2 dell’attività di assistenza, € 80.000,00 + CNP e 22% di IVA, per un totale di € 101.504,00;</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spese forfettariamente e presuntivamente previste € 500,00.</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che la s</w:t>
      </w:r>
      <w:r>
        <w:rPr>
          <w:rFonts w:ascii="Times New Roman" w:hAnsi="Times New Roman" w:cs="Times New Roman" w:eastAsia="Times New Roman"/>
          <w:color w:val="000000"/>
          <w:sz w:val="24"/>
        </w:rPr>
        <w:t xml:space="preserve">pesa a carico del comune di Osimo è pari al 7,25% per un importo stimato di Euro 7.395,29, che trova copertura alla Missione 1 – Programma 11 – Piano Finanziario 1.3.2.11.6 – voce "Patrocinio legale" – Cap. 138 "Prestazioni di servizi, spese legali, ecc." </w:t>
      </w:r>
      <w:r>
        <w:rPr>
          <w:rFonts w:ascii="Times New Roman" w:hAnsi="Times New Roman" w:cs="Times New Roman" w:eastAsia="Times New Roman"/>
          <w:color w:val="000000"/>
          <w:sz w:val="24"/>
        </w:rPr>
        <w:t xml:space="preserve">del Bilancio di previsione 2026/2028 – Esercizio 2026;</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 </w:t>
      </w:r>
      <w:r/>
    </w:p>
    <w:p>
      <w:pPr>
        <w:numPr>
          <w:ilvl w:val="0"/>
          <w:numId w:val="2"/>
        </w:numPr>
        <w:jc w:val="both"/>
        <w:spacing w:before="0" w:after="0"/>
        <w:tabs>
          <w:tab w:val="left" w:pos="720" w:leader="none"/>
        </w:tabs>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revocare la delibera di Consiglio Comunale</w:t>
      </w:r>
      <w:r>
        <w:rPr>
          <w:rFonts w:ascii="Times New Roman" w:hAnsi="Times New Roman" w:cs="Times New Roman" w:eastAsia="Times New Roman"/>
          <w:color w:val="000000"/>
          <w:sz w:val="24"/>
        </w:rPr>
        <w:t xml:space="preserve"> n. 63 del 27/10/2025, </w:t>
      </w:r>
      <w:r>
        <w:rPr>
          <w:rFonts w:ascii="Times New Roman" w:hAnsi="Times New Roman" w:cs="Times New Roman" w:eastAsia="Times New Roman"/>
          <w:color w:val="000000"/>
          <w:sz w:val="24"/>
        </w:rPr>
        <w:t xml:space="preserve">con il quale è stato avviato l’iter procedimentale che a seguito dei rilievi mossi dalla Corte dei Conti Sez. Controllo della Regione Marche e dall’AGCM riportate in premessa risulta</w:t>
      </w:r>
      <w:r>
        <w:rPr>
          <w:rFonts w:ascii="Times New Roman" w:hAnsi="Times New Roman" w:cs="Times New Roman" w:eastAsia="Times New Roman"/>
          <w:color w:val="000000"/>
          <w:sz w:val="24"/>
        </w:rPr>
        <w:t xml:space="preserve"> non più percorribile, ed avviando così con la presente delibera una nuova procedura;</w:t>
      </w:r>
      <w:r/>
    </w:p>
    <w:p>
      <w:pPr>
        <w:ind w:left="0" w:right="0" w:firstLine="0"/>
        <w:jc w:val="both"/>
        <w:spacing w:before="0" w:after="0"/>
        <w:rPr>
          <w:highlight w:val="none"/>
        </w:rPr>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highlight w:val="none"/>
        </w:rPr>
        <w:t xml:space="preserve"> </w:t>
      </w:r>
      <w:r>
        <w:rPr>
          <w:highlight w:val="none"/>
        </w:rPr>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Inoltre, stante la necessità di consentire quanto prima la stipula della convenzione e l’affidamento dell’incarico professionale, con separata e successiva votazione, con il seguente risultato Presenti………..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Votanti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Voti favorevoli………..</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Voti contrari ……..</w:t>
      </w:r>
      <w:r/>
    </w:p>
    <w:p>
      <w:pPr>
        <w:ind w:left="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Astenuti:…………</w:t>
      </w:r>
      <w:r/>
    </w:p>
    <w:p>
      <w:pPr>
        <w:ind w:left="720" w:right="296" w:firstLine="0"/>
        <w:jc w:val="both"/>
        <w:spacing w:before="0" w:after="140" w:line="253" w:lineRule="atLeast"/>
        <w:pBdr>
          <w:top w:val="none" w:color="000000" w:sz="4" w:space="0"/>
          <w:left w:val="none" w:color="000000" w:sz="4" w:space="0"/>
          <w:bottom w:val="none" w:color="000000" w:sz="4" w:space="0"/>
          <w:right w:val="none" w:color="000000" w:sz="4" w:space="0"/>
        </w:pBdr>
      </w:pPr>
      <w:r>
        <w:rPr>
          <w:rFonts w:ascii="Calibri" w:hAnsi="Calibri" w:cs="Calibri" w:eastAsia="Calibri"/>
          <w:color w:val="000000"/>
          <w:sz w:val="22"/>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DELIBERA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p>
    <w:p>
      <w:pPr>
        <w:ind w:left="0" w:right="0" w:firstLine="0"/>
        <w:jc w:val="both"/>
        <w:spacing w:before="0" w:after="140" w:line="253" w:lineRule="atLeast"/>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Di dichiarare l’immediata eseguibilità dell’atto ai sensi dell’articolo 134, comma 4^, del d. lgs. 267/2000.</w:t>
      </w:r>
      <w:r/>
    </w:p>
    <w:p>
      <w:pPr>
        <w:ind w:left="0" w:right="0" w:firstLine="0"/>
        <w:spacing w:before="0" w:after="140" w:line="253" w:lineRule="atLeast"/>
        <w:pBdr>
          <w:top w:val="none" w:color="000000" w:sz="4" w:space="0"/>
          <w:left w:val="none" w:color="000000" w:sz="4" w:space="0"/>
          <w:bottom w:val="none" w:color="000000" w:sz="4" w:space="0"/>
          <w:right w:val="none" w:color="000000" w:sz="4" w:space="0"/>
        </w:pBdr>
      </w:pPr>
      <w:r>
        <w:rPr>
          <w:rFonts w:ascii="Calibri" w:hAnsi="Calibri" w:cs="Calibri" w:eastAsia="Calibri"/>
          <w:color w:val="000000"/>
          <w:sz w:val="22"/>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b/>
          <w:color w:val="000000"/>
          <w:sz w:val="24"/>
        </w:rPr>
        <w:t xml:space="preserve"> </w:t>
      </w:r>
      <w:r/>
    </w:p>
    <w:p>
      <w:pPr>
        <w:ind w:left="720" w:right="296" w:firstLine="0"/>
        <w:jc w:val="both"/>
        <w:spacing w:before="0" w:after="140" w:line="253" w:lineRule="atLeast"/>
        <w:pBdr>
          <w:top w:val="none" w:color="000000" w:sz="4" w:space="0"/>
          <w:left w:val="none" w:color="000000" w:sz="4" w:space="0"/>
          <w:bottom w:val="none" w:color="000000" w:sz="4" w:space="0"/>
          <w:right w:val="none" w:color="000000" w:sz="4" w:space="0"/>
        </w:pBdr>
      </w:pPr>
      <w:r>
        <w:rPr>
          <w:rFonts w:ascii="Calibri" w:hAnsi="Calibri" w:cs="Calibri" w:eastAsia="Calibri"/>
          <w:color w:val="000000"/>
          <w:sz w:val="22"/>
        </w:rPr>
        <w:t xml:space="preserve"> </w:t>
      </w:r>
      <w:r/>
    </w:p>
    <w:p>
      <w:pPr>
        <w:ind w:left="720" w:right="0" w:firstLine="0"/>
        <w:jc w:val="both"/>
        <w:spacing w:before="0" w:after="0"/>
        <w:pBdr>
          <w:top w:val="none" w:color="000000" w:sz="4" w:space="0"/>
          <w:left w:val="none" w:color="000000" w:sz="4" w:space="0"/>
          <w:bottom w:val="none" w:color="000000" w:sz="4" w:space="0"/>
          <w:right w:val="none" w:color="000000" w:sz="4" w:space="0"/>
        </w:pBdr>
      </w:pPr>
      <w:r>
        <w:rPr>
          <w:rFonts w:ascii="Times New Roman" w:hAnsi="Times New Roman" w:cs="Times New Roman" w:eastAsia="Times New Roman"/>
          <w:color w:val="000000"/>
          <w:sz w:val="24"/>
        </w:rPr>
        <w:t xml:space="preserve">4 DEL D.LGS. 267/2000 4 del Dlgs 18/08/2000 n. 267.4</w:t>
      </w:r>
      <w:r/>
    </w:p>
    <w:p>
      <w:pPr>
        <w:jc w:val="center"/>
        <w:rPr>
          <w:rFonts w:ascii="Arial" w:hAnsi="Arial" w:cs="Arial" w:eastAsia="Arial"/>
          <w:b/>
          <w:bCs/>
          <w:sz w:val="24"/>
          <w:szCs w:val="24"/>
          <w:highlight w:val="none"/>
        </w:rPr>
      </w:pPr>
      <w:r>
        <w:rPr>
          <w:rFonts w:ascii="Arial" w:hAnsi="Arial" w:cs="Arial" w:eastAsia="Arial"/>
          <w:b/>
          <w:bCs/>
          <w:sz w:val="24"/>
          <w:szCs w:val="24"/>
          <w:highlight w:val="none"/>
        </w:rPr>
      </w:r>
      <w:r/>
    </w:p>
    <w:p>
      <w:pPr>
        <w:jc w:val="center"/>
      </w:pPr>
      <w:r>
        <w:rPr>
          <w:rFonts w:ascii="Arial" w:hAnsi="Arial" w:cs="Arial" w:eastAsia="Arial"/>
          <w:b/>
          <w:sz w:val="24"/>
          <w:highlight w:val="none"/>
        </w:rPr>
      </w:r>
      <w:r>
        <w:rPr>
          <w:rFonts w:ascii="Arial" w:hAnsi="Arial" w:cs="Arial" w:eastAsia="Arial"/>
          <w:b/>
          <w:sz w:val="24"/>
          <w:highlight w:val="none"/>
        </w:rPr>
      </w:r>
      <w:r/>
    </w:p>
    <w:p>
      <w:pPr>
        <w:jc w:val="center"/>
      </w:pPr>
      <w:r>
        <w:rPr>
          <w:rFonts w:ascii="Arial" w:hAnsi="Arial" w:cs="Arial" w:eastAsia="Arial"/>
          <w:b/>
          <w:sz w:val="24"/>
          <w:highlight w:val="none"/>
        </w:rPr>
        <w:t xml:space="preserve">***</w:t>
      </w:r>
      <w:r>
        <w:rPr>
          <w:rFonts w:ascii="Arial" w:hAnsi="Arial" w:cs="Arial" w:eastAsia="Arial"/>
          <w:b/>
          <w:sz w:val="24"/>
          <w:highlight w:val="none"/>
        </w:rPr>
      </w:r>
      <w:r/>
    </w:p>
    <w:p>
      <w:pPr>
        <w:jc w:val="left"/>
        <w:rPr>
          <w:bCs/>
          <w:i/>
          <w:sz w:val="20"/>
          <w:szCs w:val="20"/>
        </w:rPr>
      </w:pPr>
      <w:r>
        <w:rPr>
          <w:rFonts w:ascii="Arial" w:hAnsi="Arial" w:cs="Arial" w:eastAsia="Arial"/>
          <w:b/>
          <w:i/>
          <w:iCs/>
          <w:sz w:val="20"/>
          <w:szCs w:val="20"/>
          <w:highlight w:val="none"/>
        </w:rPr>
        <w:t xml:space="preserve">A</w:t>
      </w:r>
      <w:r>
        <w:rPr>
          <w:rFonts w:ascii="Arial" w:hAnsi="Arial" w:cs="Arial" w:eastAsia="Arial"/>
          <w:b/>
          <w:i/>
          <w:iCs/>
          <w:sz w:val="20"/>
          <w:szCs w:val="20"/>
          <w:highlight w:val="none"/>
        </w:rPr>
        <w:t xml:space="preserve">i sensi dell’art.35 del Regolamento del Consiglio Comunale, le sedute pubbliche del Consiglio Comunale vengono riprese e trasmesse via web e sono integralmente registrate su supporto digitale. Dette registrazioni sono consultabili attraverso il sito Intern</w:t>
      </w:r>
      <w:r>
        <w:rPr>
          <w:rFonts w:ascii="Arial" w:hAnsi="Arial" w:cs="Arial" w:eastAsia="Arial"/>
          <w:b/>
          <w:i/>
          <w:iCs/>
          <w:sz w:val="20"/>
          <w:szCs w:val="20"/>
          <w:highlight w:val="none"/>
        </w:rPr>
        <w:t xml:space="preserve">et del Comune.</w:t>
      </w:r>
      <w:r>
        <w:rPr>
          <w:bCs/>
          <w:i/>
          <w:sz w:val="20"/>
          <w:szCs w:val="20"/>
        </w:rPr>
      </w:r>
      <w:r/>
    </w:p>
    <w:p>
      <w:pPr>
        <w:jc w:val="center"/>
        <w:rPr>
          <w:rFonts w:ascii="Arial" w:hAnsi="Arial" w:cs="Arial" w:eastAsia="Arial"/>
          <w:b/>
          <w:bCs/>
          <w:sz w:val="24"/>
          <w:szCs w:val="24"/>
          <w:highlight w:val="none"/>
        </w:rPr>
      </w:pPr>
      <w:r>
        <w:rPr>
          <w:rFonts w:ascii="Arial" w:hAnsi="Arial" w:cs="Arial" w:eastAsia="Arial"/>
          <w:b/>
          <w:sz w:val="24"/>
          <w:highlight w:val="none"/>
        </w:rPr>
        <w:t xml:space="preserve">***</w:t>
      </w:r>
      <w:r>
        <w:rPr>
          <w:rFonts w:ascii="Arial" w:hAnsi="Arial" w:cs="Arial" w:eastAsia="Arial"/>
          <w:b/>
          <w:bCs/>
          <w:sz w:val="24"/>
          <w:szCs w:val="24"/>
          <w:highlight w:val="none"/>
        </w:rPr>
      </w:r>
      <w:r/>
    </w:p>
    <w:sectPr>
      <w:headerReference w:type="default" r:id="rId9"/>
      <w:footerReference w:type="default" r:id="rId10"/>
      <w:footnotePr/>
      <w:endnotePr/>
      <w:type w:val="nextPage"/>
      <w:pgSz w:w="11906" w:h="16838" w:orient="portrait"/>
      <w:pgMar w:top="1134" w:right="1134" w:bottom="1134" w:left="1134"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Wingdings">
    <w:panose1 w:val="05010000000000000000"/>
  </w:font>
  <w:font w:name="Symbol">
    <w:panose1 w:val="05010000000000000000"/>
  </w:font>
  <w:font w:name="Arial">
    <w:panose1 w:val="020B0604020202020204"/>
  </w:font>
  <w:font w:name="SimSun">
    <w:panose1 w:val="02020603020101020101"/>
  </w:font>
  <w:font w:name="Courier New">
    <w:panose1 w:val="02070309020205020404"/>
  </w:font>
  <w:font w:name="Mangal">
    <w:panose1 w:val="02020603050405020304"/>
  </w:font>
  <w:font w:name="Liberation Serif">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cs="Arial" w:eastAsia="Arial"/>
        <w:color w:val="000000"/>
        <w:sz w:val="18"/>
        <w:highlight w:val="none"/>
      </w:rPr>
    </w:r>
    <w:r/>
  </w:p>
  <w:p>
    <w:pPr>
      <w:ind w:left="0" w:right="0" w:firstLine="0"/>
      <w:jc w:val="left"/>
      <w:spacing w:before="0" w:after="0"/>
      <w:rPr>
        <w:rFonts w:ascii="Arial" w:hAnsi="Arial" w:cs="Arial" w:eastAsia="Arial"/>
        <w:color w:val="000000"/>
        <w:highlight w:val="none"/>
      </w:rPr>
      <w:pBdr>
        <w:top w:val="none" w:color="000000" w:sz="4" w:space="0"/>
        <w:left w:val="none" w:color="000000" w:sz="4" w:space="0"/>
        <w:bottom w:val="none" w:color="000000" w:sz="4" w:space="0"/>
        <w:right w:val="none" w:color="000000" w:sz="4" w:space="0"/>
      </w:pBdr>
    </w:pPr>
    <w:r>
      <w:rPr>
        <w:rFonts w:ascii="Arial" w:hAnsi="Arial" w:cs="Arial" w:eastAsia="Arial"/>
        <w:color w:val="000000"/>
        <w:sz w:val="18"/>
      </w:rPr>
      <w:t xml:space="preserve">Proposta di </w:t>
    </w:r>
    <w:r>
      <w:rPr>
        <w:rFonts w:ascii="Arial" w:hAnsi="Arial" w:cs="Arial" w:eastAsia="Arial"/>
        <w:color w:val="000000"/>
        <w:sz w:val="18"/>
      </w:rPr>
      <w:t xml:space="preserve">Delibera di Consiglio</w:t>
    </w:r>
    <w:r>
      <w:rPr>
        <w:rFonts w:ascii="Arial" w:hAnsi="Arial" w:cs="Arial" w:eastAsia="Arial"/>
        <w:color w:val="000000"/>
        <w:sz w:val="18"/>
      </w:rPr>
      <w:t xml:space="preserve"> n. 558 del 14/05/2026</w:t>
    </w:r>
    <w:r>
      <w:rPr>
        <w:rFonts w:ascii="Arial" w:hAnsi="Arial" w:cs="Arial" w:eastAsia="Arial"/>
        <w:color w:val="000000"/>
        <w:highlight w:val="none"/>
      </w:rPr>
    </w:r>
    <w:r/>
  </w:p>
  <w:p>
    <w:pPr>
      <w:pStyle w:val="737"/>
      <w:jc w:val="right"/>
      <w:rPr>
        <w:rFonts w:ascii="Arial" w:hAnsi="Arial" w:cs="Arial" w:eastAsia="Arial"/>
        <w:highlight w:val="none"/>
      </w:rPr>
    </w:pPr>
    <w:r>
      <w:rPr>
        <w:rFonts w:ascii="Arial" w:hAnsi="Arial" w:cs="Arial" w:eastAsia="Arial"/>
        <w:sz w:val="18"/>
      </w:rPr>
      <w:t xml:space="preserve">Pag. </w:t>
    </w:r>
    <w:fldSimple w:instr="PAGE \* MERGEFORMAT">
      <w:r>
        <w:rPr>
          <w:rFonts w:ascii="Arial" w:hAnsi="Arial" w:cs="Arial" w:eastAsia="Arial"/>
          <w:sz w:val="18"/>
        </w:rPr>
        <w:t xml:space="preserve">1</w:t>
      </w:r>
    </w:fldSimple>
    <w:r>
      <w:rPr>
        <w:rFonts w:ascii="Arial" w:hAnsi="Arial" w:cs="Arial" w:eastAsia="Arial"/>
        <w:sz w:val="18"/>
      </w:rPr>
    </w:r>
    <w:r>
      <w:rPr>
        <w:rFonts w:ascii="Arial" w:hAnsi="Arial" w:cs="Arial" w:eastAsia="Arial"/>
        <w:highlight w:val="none"/>
      </w:rPr>
    </w:r>
    <w:r/>
  </w:p>
  <w:p>
    <w:r/>
    <w:r/>
  </w:p>
  <w:p>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35"/>
    </w:pPr>
    <w:r/>
    <w:r/>
  </w:p>
  <w:p>
    <w:r>
      <w:rPr>
        <w:rFonts w:ascii="Times New Roman" w:hAnsi="Times New Roman" w:cs="Times New Roman" w:eastAsia="Times New Roman"/>
        <w:lang w:bidi="ar-SA" w:eastAsia="it-IT"/>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-226695</wp:posOffset>
              </wp:positionH>
              <wp:positionV relativeFrom="paragraph">
                <wp:posOffset>-144145</wp:posOffset>
              </wp:positionV>
              <wp:extent cx="1444625" cy="1776730"/>
              <wp:effectExtent l="0" t="0" r="0" b="0"/>
              <wp:wrapNone/>
              <wp:docPr id="1" name="Immagine 1" descr="logo1"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0020" name="Immagine 1" descr="logo1" hidden="0"/>
                      <pic:cNvPicPr>
                        <a:picLocks noChangeAspect="1"/>
                      </pic:cNvPicPr>
                      <pic:nvPr isPhoto="0" userDrawn="0"/>
                    </pic:nvPicPr>
                    <pic:blipFill>
                      <a:blip r:embed="rId1"/>
                      <a:stretch/>
                    </pic:blipFill>
                    <pic:spPr bwMode="auto">
                      <a:xfrm rot="0" flipH="0" flipV="0">
                        <a:off x="0" y="0"/>
                        <a:ext cx="1444624" cy="177672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text;margin-left:-17.8pt;mso-position-horizontal:absolute;mso-position-vertical-relative:text;margin-top:-11.3pt;mso-position-vertical:absolute;width:113.8pt;height:139.9pt;rotation:0;" stroked="false">
              <v:path textboxrect="0,0,0,0"/>
              <v:imagedata r:id="rId1" o:title=""/>
            </v:shape>
          </w:pict>
        </mc:Fallback>
      </mc:AlternateContent>
    </w:r>
    <w:r/>
  </w:p>
  <w:p>
    <w:pPr>
      <w:pStyle w:val="778"/>
    </w:pPr>
    <w:r/>
    <w:r/>
  </w:p>
  <w:p>
    <w:r/>
    <w:r/>
  </w:p>
  <w:p>
    <w:r/>
    <w:r/>
  </w:p>
  <w:p>
    <w:r/>
    <w:r/>
  </w:p>
  <w:p>
    <w:r/>
    <w:r/>
  </w:p>
  <w:p>
    <w:r/>
    <w:r/>
  </w:p>
  <w:p>
    <w:r/>
    <w:r/>
  </w:p>
  <w:p>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1">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decimal"/>
      <w:isLgl w:val="false"/>
      <w:suff w:val="tab"/>
      <w:lvlText w:val="%3."/>
      <w:lvlJc w:val="left"/>
      <w:pPr>
        <w:ind w:left="2160" w:hanging="360"/>
      </w:pPr>
    </w:lvl>
    <w:lvl w:ilvl="3">
      <w:start w:val="1"/>
      <w:numFmt w:val="decimal"/>
      <w:isLgl w:val="false"/>
      <w:suff w:val="tab"/>
      <w:lvlText w:val="%4."/>
      <w:lvlJc w:val="left"/>
      <w:pPr>
        <w:ind w:left="2880" w:hanging="360"/>
      </w:pPr>
    </w:lvl>
    <w:lvl w:ilvl="4">
      <w:start w:val="1"/>
      <w:numFmt w:val="decimal"/>
      <w:isLgl w:val="false"/>
      <w:suff w:val="tab"/>
      <w:lvlText w:val="%5."/>
      <w:lvlJc w:val="left"/>
      <w:pPr>
        <w:ind w:left="3600" w:hanging="360"/>
      </w:pPr>
    </w:lvl>
    <w:lvl w:ilvl="5">
      <w:start w:val="1"/>
      <w:numFmt w:val="decimal"/>
      <w:isLgl w:val="false"/>
      <w:suff w:val="tab"/>
      <w:lvlText w:val="%6."/>
      <w:lvlJc w:val="left"/>
      <w:pPr>
        <w:ind w:left="4320" w:hanging="360"/>
      </w:pPr>
    </w:lvl>
    <w:lvl w:ilvl="6">
      <w:start w:val="1"/>
      <w:numFmt w:val="decimal"/>
      <w:isLgl w:val="false"/>
      <w:suff w:val="tab"/>
      <w:lvlText w:val="%7."/>
      <w:lvlJc w:val="left"/>
      <w:pPr>
        <w:ind w:left="5040" w:hanging="360"/>
      </w:pPr>
    </w:lvl>
    <w:lvl w:ilvl="7">
      <w:start w:val="1"/>
      <w:numFmt w:val="decimal"/>
      <w:isLgl w:val="false"/>
      <w:suff w:val="tab"/>
      <w:lvlText w:val="%8."/>
      <w:lvlJc w:val="left"/>
      <w:pPr>
        <w:ind w:left="5760" w:hanging="360"/>
      </w:pPr>
    </w:lvl>
    <w:lvl w:ilvl="8">
      <w:start w:val="1"/>
      <w:numFmt w:val="decimal"/>
      <w:isLgl w:val="false"/>
      <w:suff w:val="tab"/>
      <w:lvlText w:val="%9."/>
      <w:lvlJc w:val="left"/>
      <w:pPr>
        <w:ind w:left="6480" w:hanging="360"/>
      </w:pPr>
    </w:lvl>
  </w:abstractNum>
  <w:abstractNum w:abstractNumId="2">
    <w:multiLevelType w:val="hybridMultilevel"/>
    <w:lvl w:ilvl="0">
      <w:start w:val="1"/>
      <w:numFmt w:val="bullet"/>
      <w:isLgl w:val="false"/>
      <w:suff w:val="tab"/>
      <w:lvlText w:val="-"/>
      <w:lvlJc w:val="left"/>
      <w:pPr>
        <w:ind w:left="1080" w:hanging="360"/>
      </w:pPr>
      <w:rPr>
        <w:rFonts w:ascii="Symbol" w:hAnsi="Symbol" w:cs="Symbol" w:eastAsia="Symbol" w:hint="default"/>
      </w:rPr>
    </w:lvl>
    <w:lvl w:ilvl="1">
      <w:start w:val="1"/>
      <w:numFmt w:val="bullet"/>
      <w:isLgl w:val="false"/>
      <w:suff w:val="tab"/>
      <w:lvlText w:val="o"/>
      <w:lvlJc w:val="left"/>
      <w:pPr>
        <w:ind w:left="1800" w:hanging="360"/>
      </w:pPr>
      <w:rPr>
        <w:rFonts w:ascii="Courier New" w:hAnsi="Courier New" w:cs="Courier New" w:eastAsia="Courier New" w:hint="default"/>
      </w:rPr>
    </w:lvl>
    <w:lvl w:ilvl="2">
      <w:start w:val="1"/>
      <w:numFmt w:val="bullet"/>
      <w:isLgl w:val="false"/>
      <w:suff w:val="tab"/>
      <w:lvlText w:val=""/>
      <w:lvlJc w:val="left"/>
      <w:pPr>
        <w:ind w:left="2520" w:hanging="360"/>
      </w:pPr>
      <w:rPr>
        <w:rFonts w:ascii="Wingdings" w:hAnsi="Wingdings" w:cs="Wingdings" w:eastAsia="Wingdings" w:hint="default"/>
      </w:rPr>
    </w:lvl>
    <w:lvl w:ilvl="3">
      <w:start w:val="1"/>
      <w:numFmt w:val="bullet"/>
      <w:isLgl w:val="false"/>
      <w:suff w:val="tab"/>
      <w:lvlText w:val=""/>
      <w:lvlJc w:val="left"/>
      <w:pPr>
        <w:ind w:left="3240" w:hanging="360"/>
      </w:pPr>
      <w:rPr>
        <w:rFonts w:ascii="Symbol" w:hAnsi="Symbol" w:cs="Symbol" w:eastAsia="Symbol" w:hint="default"/>
      </w:rPr>
    </w:lvl>
    <w:lvl w:ilvl="4">
      <w:start w:val="1"/>
      <w:numFmt w:val="bullet"/>
      <w:isLgl w:val="false"/>
      <w:suff w:val="tab"/>
      <w:lvlText w:val="o"/>
      <w:lvlJc w:val="left"/>
      <w:pPr>
        <w:ind w:left="3960" w:hanging="360"/>
      </w:pPr>
      <w:rPr>
        <w:rFonts w:ascii="Courier New" w:hAnsi="Courier New" w:cs="Courier New" w:eastAsia="Courier New" w:hint="default"/>
      </w:rPr>
    </w:lvl>
    <w:lvl w:ilvl="5">
      <w:start w:val="1"/>
      <w:numFmt w:val="bullet"/>
      <w:isLgl w:val="false"/>
      <w:suff w:val="tab"/>
      <w:lvlText w:val=""/>
      <w:lvlJc w:val="left"/>
      <w:pPr>
        <w:ind w:left="4680" w:hanging="360"/>
      </w:pPr>
      <w:rPr>
        <w:rFonts w:ascii="Wingdings" w:hAnsi="Wingdings" w:cs="Wingdings" w:eastAsia="Wingdings" w:hint="default"/>
      </w:rPr>
    </w:lvl>
    <w:lvl w:ilvl="6">
      <w:start w:val="1"/>
      <w:numFmt w:val="bullet"/>
      <w:isLgl w:val="false"/>
      <w:suff w:val="tab"/>
      <w:lvlText w:val=""/>
      <w:lvlJc w:val="left"/>
      <w:pPr>
        <w:ind w:left="5400" w:hanging="360"/>
      </w:pPr>
      <w:rPr>
        <w:rFonts w:ascii="Symbol" w:hAnsi="Symbol" w:cs="Symbol" w:eastAsia="Symbol" w:hint="default"/>
      </w:rPr>
    </w:lvl>
    <w:lvl w:ilvl="7">
      <w:start w:val="1"/>
      <w:numFmt w:val="bullet"/>
      <w:isLgl w:val="false"/>
      <w:suff w:val="tab"/>
      <w:lvlText w:val="o"/>
      <w:lvlJc w:val="left"/>
      <w:pPr>
        <w:ind w:left="6120" w:hanging="360"/>
      </w:pPr>
      <w:rPr>
        <w:rFonts w:ascii="Courier New" w:hAnsi="Courier New" w:cs="Courier New" w:eastAsia="Courier New" w:hint="default"/>
      </w:rPr>
    </w:lvl>
    <w:lvl w:ilvl="8">
      <w:start w:val="1"/>
      <w:numFmt w:val="bullet"/>
      <w:isLgl w:val="false"/>
      <w:suff w:val="tab"/>
      <w:lvlText w:val=""/>
      <w:lvlJc w:val="left"/>
      <w:pPr>
        <w:ind w:left="6840" w:hanging="360"/>
      </w:pPr>
      <w:rPr>
        <w:rFonts w:ascii="Wingdings" w:hAnsi="Wingdings" w:cs="Wingdings" w:eastAsia="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hAnsi="Liberation Serif" w:cs="Mangal" w:eastAsia="SimSun" w:hint="default"/>
        <w:sz w:val="24"/>
        <w:szCs w:val="24"/>
        <w:lang w:val="it-IT" w:bidi="hi-IN"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
    <w:name w:val="Normal"/>
    <w:qFormat/>
  </w:style>
  <w:style w:type="character" w:styleId="9">
    <w:name w:val="Default Paragraph Font"/>
    <w:uiPriority w:val="1"/>
    <w:semiHidden/>
    <w:unhideWhenUsed/>
  </w:style>
  <w:style w:type="numbering" w:styleId="10">
    <w:name w:val="No List"/>
    <w:uiPriority w:val="99"/>
    <w:semiHidden/>
    <w:unhideWhenUsed/>
  </w:style>
  <w:style w:type="paragraph" w:styleId="11">
    <w:name w:val="Heading 1"/>
    <w:basedOn w:val="8"/>
    <w:next w:val="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uiPriority w:val="34"/>
    <w:qFormat/>
    <w:pPr>
      <w:contextualSpacing/>
      <w:ind w:left="720"/>
    </w:pPr>
  </w:style>
  <w:style w:type="table" w:styleId="30">
    <w:name w:val="Normal Table"/>
    <w:uiPriority w:val="99"/>
    <w:semiHidden/>
    <w:unhideWhenUsed/>
    <w:tblPr>
      <w:tblInd w:w="0" w:type="dxa"/>
      <w:tblCellMar>
        <w:left w:w="108" w:type="dxa"/>
        <w:top w:w="0" w:type="dxa"/>
        <w:right w:w="108" w:type="dxa"/>
        <w:bottom w:w="0" w:type="dxa"/>
      </w:tblCellMar>
    </w:tblPr>
  </w:style>
  <w:style w:type="paragraph" w:styleId="31">
    <w:name w:val="No Spacing"/>
    <w:uiPriority w:val="1"/>
    <w:qFormat/>
    <w:pPr>
      <w:spacing w:before="0" w:after="0" w:line="240" w:lineRule="auto"/>
    </w:pPr>
  </w:style>
  <w:style w:type="paragraph" w:styleId="32">
    <w:name w:val="Title"/>
    <w:basedOn w:val="8"/>
    <w:next w:val="8"/>
    <w:link w:val="33"/>
    <w:uiPriority w:val="10"/>
    <w:qFormat/>
    <w:pPr>
      <w:contextualSpacing/>
      <w:spacing w:before="300" w:after="200"/>
    </w:pPr>
    <w:rPr>
      <w:sz w:val="48"/>
      <w:szCs w:val="48"/>
    </w:rPr>
  </w:style>
  <w:style w:type="character" w:styleId="33">
    <w:name w:val="Title Char"/>
    <w:basedOn w:val="9"/>
    <w:link w:val="32"/>
    <w:uiPriority w:val="10"/>
    <w:rPr>
      <w:sz w:val="48"/>
      <w:szCs w:val="48"/>
    </w:rPr>
  </w:style>
  <w:style w:type="paragraph" w:styleId="34">
    <w:name w:val="Subtitle"/>
    <w:basedOn w:val="8"/>
    <w:next w:val="8"/>
    <w:link w:val="35"/>
    <w:uiPriority w:val="11"/>
    <w:qFormat/>
    <w:pPr>
      <w:spacing w:before="200" w:after="200"/>
    </w:pPr>
    <w:rPr>
      <w:sz w:val="24"/>
      <w:szCs w:val="24"/>
    </w:rPr>
  </w:style>
  <w:style w:type="character" w:styleId="35">
    <w:name w:val="Subtitle Char"/>
    <w:basedOn w:val="9"/>
    <w:link w:val="34"/>
    <w:uiPriority w:val="11"/>
    <w:rPr>
      <w:sz w:val="24"/>
      <w:szCs w:val="24"/>
    </w:rPr>
  </w:style>
  <w:style w:type="paragraph" w:styleId="36">
    <w:name w:val="Quote"/>
    <w:basedOn w:val="8"/>
    <w:next w:val="8"/>
    <w:link w:val="37"/>
    <w:uiPriority w:val="29"/>
    <w:qFormat/>
    <w:pPr>
      <w:ind w:left="720" w:right="720"/>
    </w:pPr>
    <w:rPr>
      <w:i/>
    </w:rPr>
  </w:style>
  <w:style w:type="character" w:styleId="37">
    <w:name w:val="Quote Char"/>
    <w:link w:val="36"/>
    <w:uiPriority w:val="29"/>
    <w:rPr>
      <w:i/>
    </w:rPr>
  </w:style>
  <w:style w:type="paragraph" w:styleId="38">
    <w:name w:val="Intense Quote"/>
    <w:basedOn w:val="8"/>
    <w:next w:val="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8"/>
    <w:link w:val="41"/>
    <w:uiPriority w:val="99"/>
    <w:unhideWhenUsed/>
    <w:pPr>
      <w:spacing w:after="0" w:line="240" w:lineRule="auto"/>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after="0" w:line="240" w:lineRule="auto"/>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3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3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3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3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3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3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3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3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3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3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3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3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3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3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3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3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3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3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3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3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3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3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3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3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3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3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3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3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3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3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3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3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3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3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3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3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3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3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3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3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3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3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3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3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3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3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3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3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3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3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3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3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3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3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3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3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3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3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3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3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3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3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3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3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3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3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3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3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3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3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3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3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3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3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3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3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3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3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3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3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3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3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3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3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3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3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3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3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3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3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3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3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3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3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3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paragraph" w:styleId="189">
    <w:name w:val="table of figures"/>
    <w:basedOn w:val="8"/>
    <w:next w:val="8"/>
    <w:uiPriority w:val="99"/>
    <w:unhideWhenUsed/>
    <w:pPr>
      <w:spacing w:after="0" w:afterAutospacing="0"/>
    </w:pPr>
  </w:style>
  <w:style w:type="paragraph" w:styleId="735">
    <w:name w:val="Header db3952c0e4354d8dd9a2bc97160c6b47"/>
    <w:basedOn w:val="750"/>
    <w:link w:val="736"/>
    <w:uiPriority w:val="99"/>
    <w:unhideWhenUsed/>
    <w:pPr>
      <w:spacing w:after="0" w:line="240" w:lineRule="auto"/>
      <w:tabs>
        <w:tab w:val="center" w:pos="7143" w:leader="none"/>
        <w:tab w:val="right" w:pos="14287" w:leader="none"/>
      </w:tabs>
    </w:pPr>
  </w:style>
  <w:style w:type="character" w:styleId="736">
    <w:name w:val="Header Char db3952c0e4354d8dd9a2bc97160c6b47"/>
    <w:link w:val="735"/>
    <w:uiPriority w:val="99"/>
  </w:style>
  <w:style w:type="paragraph" w:styleId="737">
    <w:name w:val="Footer db3952c0e4354d8dd9a2bc97160c6b47"/>
    <w:basedOn w:val="750"/>
    <w:link w:val="739"/>
    <w:uiPriority w:val="99"/>
    <w:unhideWhenUsed/>
    <w:pPr>
      <w:spacing w:after="0" w:line="240" w:lineRule="auto"/>
      <w:tabs>
        <w:tab w:val="center" w:pos="7143" w:leader="none"/>
        <w:tab w:val="right" w:pos="14287" w:leader="none"/>
      </w:tabs>
    </w:pPr>
  </w:style>
  <w:style w:type="character" w:styleId="738">
    <w:name w:val="Footer Char db3952c0e4354d8dd9a2bc97160c6b47"/>
    <w:link w:val="737"/>
    <w:uiPriority w:val="99"/>
  </w:style>
  <w:style w:type="character" w:styleId="739">
    <w:name w:val="Caption Char db3952c0e4354d8dd9a2bc97160c6b47"/>
    <w:link w:val="737"/>
    <w:uiPriority w:val="99"/>
  </w:style>
  <w:style w:type="character" w:styleId="740">
    <w:name w:val="Hyperlink db3952c0e4354d8dd9a2bc97160c6b47"/>
    <w:uiPriority w:val="99"/>
    <w:unhideWhenUsed/>
    <w:rPr>
      <w:color w:val="0000FF" w:themeColor="hyperlink"/>
      <w:u w:val="single"/>
    </w:rPr>
  </w:style>
  <w:style w:type="paragraph" w:styleId="741">
    <w:name w:val="toc 1 db3952c0e4354d8dd9a2bc97160c6b47"/>
    <w:basedOn w:val="750"/>
    <w:uiPriority w:val="39"/>
    <w:unhideWhenUsed/>
    <w:pPr>
      <w:ind w:left="0" w:right="0" w:firstLine="0"/>
      <w:spacing w:after="57"/>
    </w:pPr>
  </w:style>
  <w:style w:type="paragraph" w:styleId="742">
    <w:name w:val="toc 2 db3952c0e4354d8dd9a2bc97160c6b47"/>
    <w:basedOn w:val="750"/>
    <w:uiPriority w:val="39"/>
    <w:unhideWhenUsed/>
    <w:pPr>
      <w:ind w:left="283" w:right="0" w:firstLine="0"/>
      <w:spacing w:after="57"/>
    </w:pPr>
  </w:style>
  <w:style w:type="paragraph" w:styleId="743">
    <w:name w:val="toc 3 db3952c0e4354d8dd9a2bc97160c6b47"/>
    <w:basedOn w:val="750"/>
    <w:uiPriority w:val="39"/>
    <w:unhideWhenUsed/>
    <w:pPr>
      <w:ind w:left="567" w:right="0" w:firstLine="0"/>
      <w:spacing w:after="57"/>
    </w:pPr>
  </w:style>
  <w:style w:type="paragraph" w:styleId="744">
    <w:name w:val="toc 4 db3952c0e4354d8dd9a2bc97160c6b47"/>
    <w:basedOn w:val="750"/>
    <w:uiPriority w:val="39"/>
    <w:unhideWhenUsed/>
    <w:pPr>
      <w:ind w:left="850" w:right="0" w:firstLine="0"/>
      <w:spacing w:after="57"/>
    </w:pPr>
  </w:style>
  <w:style w:type="paragraph" w:styleId="745">
    <w:name w:val="toc 5 db3952c0e4354d8dd9a2bc97160c6b47"/>
    <w:basedOn w:val="750"/>
    <w:uiPriority w:val="39"/>
    <w:unhideWhenUsed/>
    <w:pPr>
      <w:ind w:left="1134" w:right="0" w:firstLine="0"/>
      <w:spacing w:after="57"/>
    </w:pPr>
  </w:style>
  <w:style w:type="paragraph" w:styleId="746">
    <w:name w:val="toc 6 db3952c0e4354d8dd9a2bc97160c6b47"/>
    <w:basedOn w:val="750"/>
    <w:uiPriority w:val="39"/>
    <w:unhideWhenUsed/>
    <w:pPr>
      <w:ind w:left="1417" w:right="0" w:firstLine="0"/>
      <w:spacing w:after="57"/>
    </w:pPr>
  </w:style>
  <w:style w:type="paragraph" w:styleId="747">
    <w:name w:val="toc 7 db3952c0e4354d8dd9a2bc97160c6b47"/>
    <w:basedOn w:val="750"/>
    <w:uiPriority w:val="39"/>
    <w:unhideWhenUsed/>
    <w:pPr>
      <w:ind w:left="1701" w:right="0" w:firstLine="0"/>
      <w:spacing w:after="57"/>
    </w:pPr>
  </w:style>
  <w:style w:type="paragraph" w:styleId="748">
    <w:name w:val="toc 8 db3952c0e4354d8dd9a2bc97160c6b47"/>
    <w:basedOn w:val="750"/>
    <w:uiPriority w:val="39"/>
    <w:unhideWhenUsed/>
    <w:pPr>
      <w:ind w:left="1984" w:right="0" w:firstLine="0"/>
      <w:spacing w:after="57"/>
    </w:pPr>
  </w:style>
  <w:style w:type="paragraph" w:styleId="749">
    <w:name w:val="toc 9 db3952c0e4354d8dd9a2bc97160c6b47"/>
    <w:basedOn w:val="750"/>
    <w:uiPriority w:val="39"/>
    <w:unhideWhenUsed/>
    <w:pPr>
      <w:ind w:left="2268" w:right="0" w:firstLine="0"/>
      <w:spacing w:after="57"/>
    </w:pPr>
  </w:style>
  <w:style w:type="paragraph" w:styleId="750" w:default="1">
    <w:name w:val="Normal db3952c0e4354d8dd9a2bc97160c6b47"/>
    <w:qFormat/>
    <w:pPr>
      <w:widowControl w:val="off"/>
    </w:pPr>
    <w:rPr>
      <w:rFonts w:ascii="Liberation Serif" w:hAnsi="Liberation Serif" w:cs="Mangal" w:eastAsia="SimSun"/>
      <w:color w:val="auto"/>
      <w:sz w:val="24"/>
      <w:szCs w:val="24"/>
      <w:lang w:val="it-IT" w:bidi="hi-IN" w:eastAsia="zh-CN"/>
    </w:rPr>
  </w:style>
  <w:style w:type="character" w:styleId="751" w:default="1">
    <w:name w:val="Default Paragraph Font db3952c0e4354d8dd9a2bc97160c6b47"/>
    <w:uiPriority w:val="1"/>
    <w:semiHidden/>
    <w:unhideWhenUsed/>
  </w:style>
  <w:style w:type="numbering" w:styleId="752" w:default="1">
    <w:name w:val="No List db3952c0e4354d8dd9a2bc97160c6b47"/>
    <w:uiPriority w:val="99"/>
    <w:semiHidden/>
    <w:unhideWhenUsed/>
  </w:style>
  <w:style w:type="table" w:styleId="753" w:default="1">
    <w:name w:val="Normal Table db3952c0e4354d8dd9a2bc97160c6b47"/>
    <w:uiPriority w:val="99"/>
    <w:semiHidden/>
    <w:unhideWhenUsed/>
    <w:tblPr/>
  </w:style>
  <w:style w:type="character" w:styleId="754">
    <w:name w:val="Hyperlink 04cca541231082a172450133231f5820"/>
    <w:uiPriority w:val="99"/>
    <w:unhideWhenUsed/>
    <w:rPr>
      <w:color w:val="0000FF" w:themeColor="hyperlink"/>
      <w:u w:val="single"/>
    </w:rPr>
  </w:style>
  <w:style w:type="paragraph" w:styleId="755">
    <w:name w:val="toc 1 04cca541231082a172450133231f5820"/>
    <w:basedOn w:val="764"/>
    <w:uiPriority w:val="39"/>
    <w:unhideWhenUsed/>
    <w:pPr>
      <w:ind w:left="0" w:right="0" w:firstLine="0"/>
      <w:spacing w:after="57"/>
    </w:pPr>
  </w:style>
  <w:style w:type="paragraph" w:styleId="756">
    <w:name w:val="toc 2 04cca541231082a172450133231f5820"/>
    <w:basedOn w:val="764"/>
    <w:uiPriority w:val="39"/>
    <w:unhideWhenUsed/>
    <w:pPr>
      <w:ind w:left="283" w:right="0" w:firstLine="0"/>
      <w:spacing w:after="57"/>
    </w:pPr>
  </w:style>
  <w:style w:type="paragraph" w:styleId="757">
    <w:name w:val="toc 3 04cca541231082a172450133231f5820"/>
    <w:basedOn w:val="764"/>
    <w:uiPriority w:val="39"/>
    <w:unhideWhenUsed/>
    <w:pPr>
      <w:ind w:left="567" w:right="0" w:firstLine="0"/>
      <w:spacing w:after="57"/>
    </w:pPr>
  </w:style>
  <w:style w:type="paragraph" w:styleId="758">
    <w:name w:val="toc 4 04cca541231082a172450133231f5820"/>
    <w:basedOn w:val="764"/>
    <w:uiPriority w:val="39"/>
    <w:unhideWhenUsed/>
    <w:pPr>
      <w:ind w:left="850" w:right="0" w:firstLine="0"/>
      <w:spacing w:after="57"/>
    </w:pPr>
  </w:style>
  <w:style w:type="paragraph" w:styleId="759">
    <w:name w:val="toc 5 04cca541231082a172450133231f5820"/>
    <w:basedOn w:val="764"/>
    <w:uiPriority w:val="39"/>
    <w:unhideWhenUsed/>
    <w:pPr>
      <w:ind w:left="1134" w:right="0" w:firstLine="0"/>
      <w:spacing w:after="57"/>
    </w:pPr>
  </w:style>
  <w:style w:type="paragraph" w:styleId="760">
    <w:name w:val="toc 6 04cca541231082a172450133231f5820"/>
    <w:basedOn w:val="764"/>
    <w:uiPriority w:val="39"/>
    <w:unhideWhenUsed/>
    <w:pPr>
      <w:ind w:left="1417" w:right="0" w:firstLine="0"/>
      <w:spacing w:after="57"/>
    </w:pPr>
  </w:style>
  <w:style w:type="paragraph" w:styleId="761">
    <w:name w:val="toc 7 04cca541231082a172450133231f5820"/>
    <w:basedOn w:val="764"/>
    <w:uiPriority w:val="39"/>
    <w:unhideWhenUsed/>
    <w:pPr>
      <w:ind w:left="1701" w:right="0" w:firstLine="0"/>
      <w:spacing w:after="57"/>
    </w:pPr>
  </w:style>
  <w:style w:type="paragraph" w:styleId="762">
    <w:name w:val="toc 8 04cca541231082a172450133231f5820"/>
    <w:basedOn w:val="764"/>
    <w:uiPriority w:val="39"/>
    <w:unhideWhenUsed/>
    <w:pPr>
      <w:ind w:left="1984" w:right="0" w:firstLine="0"/>
      <w:spacing w:after="57"/>
    </w:pPr>
  </w:style>
  <w:style w:type="paragraph" w:styleId="763">
    <w:name w:val="toc 9 04cca541231082a172450133231f5820"/>
    <w:basedOn w:val="764"/>
    <w:uiPriority w:val="39"/>
    <w:unhideWhenUsed/>
    <w:pPr>
      <w:ind w:left="2268" w:right="0" w:firstLine="0"/>
      <w:spacing w:after="57"/>
    </w:pPr>
  </w:style>
  <w:style w:type="paragraph" w:styleId="764">
    <w:name w:val="Normal 04cca541231082a172450133231f5820"/>
    <w:pPr>
      <w:widowControl w:val="off"/>
    </w:pPr>
    <w:rPr>
      <w:rFonts w:ascii="Liberation Serif" w:hAnsi="Liberation Serif" w:cs="Mangal" w:eastAsia="SimSun"/>
      <w:color w:val="auto"/>
      <w:sz w:val="24"/>
      <w:szCs w:val="24"/>
      <w:lang w:val="it-IT" w:bidi="hi-IN" w:eastAsia="zh-CN"/>
    </w:rPr>
  </w:style>
  <w:style w:type="character" w:styleId="765">
    <w:name w:val="Default Paragraph Font 04cca541231082a172450133231f5820"/>
    <w:uiPriority w:val="1"/>
    <w:semiHidden/>
    <w:unhideWhenUsed/>
  </w:style>
  <w:style w:type="numbering" w:styleId="766">
    <w:name w:val="No List 04cca541231082a172450133231f5820"/>
    <w:uiPriority w:val="99"/>
    <w:semiHidden/>
    <w:unhideWhenUsed/>
  </w:style>
  <w:style w:type="table" w:styleId="767">
    <w:name w:val="Normal Table 04cca541231082a172450133231f5820"/>
    <w:uiPriority w:val="99"/>
    <w:semiHidden/>
    <w:unhideWhenUsed/>
    <w:tblPr/>
  </w:style>
  <w:style w:type="character" w:styleId="768">
    <w:name w:val="Hyperlink ebf7ba6dabc809489420b16e91582b2f"/>
    <w:uiPriority w:val="99"/>
    <w:unhideWhenUsed/>
    <w:rPr>
      <w:color w:val="0000FF" w:themeColor="hyperlink"/>
      <w:u w:val="single"/>
    </w:rPr>
  </w:style>
  <w:style w:type="paragraph" w:styleId="769">
    <w:name w:val="toc 1 ebf7ba6dabc809489420b16e91582b2f"/>
    <w:basedOn w:val="778"/>
    <w:uiPriority w:val="39"/>
    <w:unhideWhenUsed/>
    <w:pPr>
      <w:ind w:left="0" w:right="0" w:firstLine="0"/>
      <w:spacing w:after="57"/>
    </w:pPr>
  </w:style>
  <w:style w:type="paragraph" w:styleId="770">
    <w:name w:val="toc 2 ebf7ba6dabc809489420b16e91582b2f"/>
    <w:basedOn w:val="778"/>
    <w:uiPriority w:val="39"/>
    <w:unhideWhenUsed/>
    <w:pPr>
      <w:ind w:left="283" w:right="0" w:firstLine="0"/>
      <w:spacing w:after="57"/>
    </w:pPr>
  </w:style>
  <w:style w:type="paragraph" w:styleId="771">
    <w:name w:val="toc 3 ebf7ba6dabc809489420b16e91582b2f"/>
    <w:basedOn w:val="778"/>
    <w:uiPriority w:val="39"/>
    <w:unhideWhenUsed/>
    <w:pPr>
      <w:ind w:left="567" w:right="0" w:firstLine="0"/>
      <w:spacing w:after="57"/>
    </w:pPr>
  </w:style>
  <w:style w:type="paragraph" w:styleId="772">
    <w:name w:val="toc 4 ebf7ba6dabc809489420b16e91582b2f"/>
    <w:basedOn w:val="778"/>
    <w:uiPriority w:val="39"/>
    <w:unhideWhenUsed/>
    <w:pPr>
      <w:ind w:left="850" w:right="0" w:firstLine="0"/>
      <w:spacing w:after="57"/>
    </w:pPr>
  </w:style>
  <w:style w:type="paragraph" w:styleId="773">
    <w:name w:val="toc 5 ebf7ba6dabc809489420b16e91582b2f"/>
    <w:basedOn w:val="778"/>
    <w:uiPriority w:val="39"/>
    <w:unhideWhenUsed/>
    <w:pPr>
      <w:ind w:left="1134" w:right="0" w:firstLine="0"/>
      <w:spacing w:after="57"/>
    </w:pPr>
  </w:style>
  <w:style w:type="paragraph" w:styleId="774">
    <w:name w:val="toc 6 ebf7ba6dabc809489420b16e91582b2f"/>
    <w:basedOn w:val="778"/>
    <w:uiPriority w:val="39"/>
    <w:unhideWhenUsed/>
    <w:pPr>
      <w:ind w:left="1417" w:right="0" w:firstLine="0"/>
      <w:spacing w:after="57"/>
    </w:pPr>
  </w:style>
  <w:style w:type="paragraph" w:styleId="775">
    <w:name w:val="toc 7 ebf7ba6dabc809489420b16e91582b2f"/>
    <w:basedOn w:val="778"/>
    <w:uiPriority w:val="39"/>
    <w:unhideWhenUsed/>
    <w:pPr>
      <w:ind w:left="1701" w:right="0" w:firstLine="0"/>
      <w:spacing w:after="57"/>
    </w:pPr>
  </w:style>
  <w:style w:type="paragraph" w:styleId="776">
    <w:name w:val="toc 8 ebf7ba6dabc809489420b16e91582b2f"/>
    <w:basedOn w:val="778"/>
    <w:uiPriority w:val="39"/>
    <w:unhideWhenUsed/>
    <w:pPr>
      <w:ind w:left="1984" w:right="0" w:firstLine="0"/>
      <w:spacing w:after="57"/>
    </w:pPr>
  </w:style>
  <w:style w:type="paragraph" w:styleId="777">
    <w:name w:val="toc 9 ebf7ba6dabc809489420b16e91582b2f"/>
    <w:basedOn w:val="778"/>
    <w:uiPriority w:val="39"/>
    <w:unhideWhenUsed/>
    <w:pPr>
      <w:ind w:left="2268" w:right="0" w:firstLine="0"/>
      <w:spacing w:after="57"/>
    </w:pPr>
  </w:style>
  <w:style w:type="paragraph" w:styleId="778">
    <w:name w:val="Normal ebf7ba6dabc809489420b16e91582b2f"/>
    <w:pPr>
      <w:widowControl w:val="off"/>
    </w:pPr>
    <w:rPr>
      <w:rFonts w:ascii="Liberation Serif" w:hAnsi="Liberation Serif" w:cs="Mangal" w:eastAsia="SimSun"/>
      <w:color w:val="auto"/>
      <w:sz w:val="24"/>
      <w:szCs w:val="24"/>
      <w:lang w:val="it-IT" w:bidi="hi-IN" w:eastAsia="zh-CN"/>
    </w:rPr>
  </w:style>
  <w:style w:type="character" w:styleId="779">
    <w:name w:val="Default Paragraph Font ebf7ba6dabc809489420b16e91582b2f"/>
    <w:uiPriority w:val="1"/>
    <w:semiHidden/>
    <w:unhideWhenUsed/>
  </w:style>
  <w:style w:type="numbering" w:styleId="780">
    <w:name w:val="No List ebf7ba6dabc809489420b16e91582b2f"/>
    <w:uiPriority w:val="99"/>
    <w:semiHidden/>
    <w:unhideWhenUsed/>
  </w:style>
  <w:style w:type="table" w:styleId="781">
    <w:name w:val="Normal Table ebf7ba6dabc809489420b16e91582b2f"/>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ONLYOFFICE/7.1.1.23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language>it-IT</dc:language>
  <cp:lastModifiedBy>s.burghiani</cp:lastModifiedBy>
  <cp:revision>16</cp:revision>
  <dcterms:created xsi:type="dcterms:W3CDTF">2016-01-21T15:36:37Z</dcterms:created>
  <dcterms:modified xsi:type="dcterms:W3CDTF">2026-05-15T09:13:08Z</dcterms:modified>
</cp:coreProperties>
</file>