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Tahoma" w:hAnsi="Tahoma" w:cs="Tahoma" w:eastAsia="Times New Roman"/>
          <w:lang w:eastAsia="it-IT"/>
        </w:rPr>
      </w:pPr>
      <w:r>
        <w:rPr>
          <w:rFonts w:ascii="Tahoma" w:hAnsi="Tahoma" w:cs="Tahoma" w:eastAsia="Times New Roman"/>
          <w:b/>
          <w:lang w:eastAsia="it-IT"/>
        </w:rPr>
      </w:r>
      <w:r>
        <w:rPr>
          <w:rFonts w:ascii="Tahoma" w:hAnsi="Tahoma" w:cs="Tahoma" w:eastAsia="Times New Roman"/>
          <w:lang w:eastAsia="it-IT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PROPOSTA DI DELIBERAZIONE</w:t>
      </w:r>
      <w:r>
        <w:rPr>
          <w:rFonts w:ascii="Arial" w:hAnsi="Arial" w:cs="Arial" w:eastAsia="Arial"/>
          <w:sz w:val="24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DEL CONSIGLIO COMUNALE</w:t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sz w:val="24"/>
          <w:highlight w:val="none"/>
        </w:rPr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highlight w:val="none"/>
          <w:lang w:eastAsia="it-IT"/>
        </w:rPr>
        <w:t xml:space="preserve">n. </w:t>
      </w:r>
      <w:r>
        <w:rPr>
          <w:rFonts w:ascii="Arial" w:hAnsi="Arial" w:cs="Arial" w:eastAsia="Arial"/>
          <w:b/>
          <w:sz w:val="24"/>
          <w:lang w:eastAsia="it-IT"/>
        </w:rPr>
        <w:t xml:space="preserve">971 del </w:t>
      </w:r>
      <w:r>
        <w:rPr>
          <w:rFonts w:ascii="Arial" w:hAnsi="Arial" w:cs="Arial" w:eastAsia="Arial"/>
          <w:b/>
          <w:sz w:val="24"/>
          <w:lang w:eastAsia="it-IT"/>
        </w:rPr>
        <w:t xml:space="preserve">14/08/2026</w:t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OGGETTO:</w:t>
      </w:r>
      <w:r>
        <w:rPr>
          <w:rFonts w:ascii="Arial" w:hAnsi="Arial" w:cs="Arial" w:eastAsia="Arial"/>
          <w:sz w:val="24"/>
        </w:rPr>
      </w:r>
      <w:r/>
    </w:p>
    <w:p>
      <w:pPr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ESAME ED APPROVAZIONE DEL NUOVO REGOLAMENTO COMUNALE PER AFFIDAMENTO E GESTIONE IN USO DEGLI IMPIANTI SPORTIVI COMUNALI</w:t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  <w:pBdr>
          <w:bottom w:val="single" w:color="000000" w:sz="6" w:space="0"/>
        </w:pBd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pStyle w:val="953"/>
      </w:pPr>
      <w:r/>
      <w:r/>
    </w:p>
    <w:p>
      <w:pPr>
        <w:jc w:val="center"/>
        <w:rPr>
          <w:rFonts w:ascii="Arial" w:hAnsi="Arial" w:cs="Arial" w:eastAsia="Arial"/>
          <w:b/>
          <w:sz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pStyle w:val="939"/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</w:rPr>
        <w:t xml:space="preserve">IL CONSIGLIO COMUNALE</w:t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left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ind w:left="284" w:right="0" w:hanging="284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Premesso che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:</w:t>
      </w:r>
      <w:r/>
    </w:p>
    <w:p>
      <w:pPr>
        <w:numPr>
          <w:ilvl w:val="0"/>
          <w:numId w:val="1"/>
        </w:numPr>
        <w:jc w:val="both"/>
        <w:spacing w:before="0" w:after="0" w:line="279" w:lineRule="atLeast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rientra tra gli obiettivi fondamentali dell'Amministrazione Comunale la promozione e il sostegno di tutte le iniziative che valorizzano la cultura e la promozione dello sport e le attività ad esso collegate (art. 14 Statuto comunale);</w:t>
      </w:r>
      <w:r>
        <w:rPr>
          <w:rFonts w:ascii="Times New Roman" w:hAnsi="Times New Roman" w:cs="Times New Roman" w:eastAsia="Times New Roman"/>
        </w:rPr>
      </w:r>
      <w:r/>
    </w:p>
    <w:p>
      <w:pPr>
        <w:numPr>
          <w:ilvl w:val="0"/>
          <w:numId w:val="1"/>
        </w:numPr>
        <w:jc w:val="both"/>
        <w:spacing w:before="0" w:after="0" w:line="279" w:lineRule="atLeast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Il Comune di Osimo riconosce nella pratica delle attività motorie e sportive uno strumento di educazione e formazione personale e sociale, di prevenzione, di tutela e miglioramento della salute e intende comunque garantire la più ampia fruizione di tutti g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li impianti di proprietà comunale da parte della collettività e divulgare corretti stili di vita;</w:t>
      </w:r>
      <w:r>
        <w:rPr>
          <w:rFonts w:ascii="Times New Roman" w:hAnsi="Times New Roman" w:cs="Times New Roman" w:eastAsia="Times New Roman"/>
        </w:rPr>
      </w:r>
      <w:r/>
    </w:p>
    <w:p>
      <w:pPr>
        <w:numPr>
          <w:ilvl w:val="0"/>
          <w:numId w:val="1"/>
        </w:numPr>
        <w:jc w:val="both"/>
        <w:spacing w:before="0" w:after="0" w:line="279" w:lineRule="atLeast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Ai sensi dall’art. 6 del D.lgs. n. 38/2021, l'uso pubblico degli impianti sportivi è diretto a soddisfare gli interessi generali della collettività, è aperto a tutti i cittadini ed è garantito, sulla base di criteri obiettivi, a tutte le società ed associa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zioni sportive.</w:t>
      </w:r>
      <w:r>
        <w:rPr>
          <w:rFonts w:ascii="Times New Roman" w:hAnsi="Times New Roman" w:cs="Times New Roman" w:eastAsia="Times New Roman"/>
        </w:rPr>
      </w:r>
      <w:r/>
    </w:p>
    <w:p>
      <w:pPr>
        <w:numPr>
          <w:ilvl w:val="0"/>
          <w:numId w:val="1"/>
        </w:numPr>
        <w:jc w:val="both"/>
        <w:spacing w:before="0" w:after="160" w:line="65" w:lineRule="atLeast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Gli impianti sportivi comunali sono beni di proprietà comunale destinati ad un pubblico servizio ed assoggettati al regime dei beni patrimoniali ai sensi dell’art.826, ultimo, del Codice civile; sono impiegati in favore della collettività, per attività di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interesse generale, ai sensi dell’art.828 C.C;</w:t>
      </w:r>
      <w:r>
        <w:rPr>
          <w:rFonts w:ascii="Times New Roman" w:hAnsi="Times New Roman" w:cs="Times New Roman" w:eastAsia="Times New Roman"/>
        </w:rPr>
      </w:r>
      <w:r/>
    </w:p>
    <w:p>
      <w:pPr>
        <w:numPr>
          <w:ilvl w:val="0"/>
          <w:numId w:val="1"/>
        </w:numPr>
        <w:jc w:val="both"/>
        <w:spacing w:before="0" w:after="160" w:line="65" w:lineRule="atLeast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Gli impianti sportivi comunali si qualificano quale servizio pubblico locale, ai sensi dell’art.113 del D.Lgs.n.267/2000, per cui l’utilizzo del patrimonio si fonda con la promozione dello sport;</w:t>
      </w:r>
      <w:r>
        <w:rPr>
          <w:rFonts w:ascii="Times New Roman" w:hAnsi="Times New Roman" w:cs="Times New Roman" w:eastAsia="Times New Roman"/>
        </w:rPr>
      </w:r>
      <w:r/>
    </w:p>
    <w:p>
      <w:pPr>
        <w:numPr>
          <w:ilvl w:val="0"/>
          <w:numId w:val="1"/>
        </w:numPr>
        <w:jc w:val="both"/>
        <w:spacing w:before="0" w:after="160" w:line="65" w:lineRule="atLeast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Nei casi in cui l'ente pubblico territoriale non intenda gestire direttamente gli impianti sportivi, la gestione è affidata in via preferenziale a società e associazioni sportive dilettantistiche, enti di promozione sportiva, discipline sportive associate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e federazioni sportive nazionali, sulla base di convenzioni che ne stabiliscono i criteri d'uso e previa determinazione di criteri generali e obiettivi per l'individuazione dei soggetti affidatariin ottemperanza alle normative comunitarie, statali e region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ali in materia;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 w:line="279" w:lineRule="atLeast"/>
        <w:rPr>
          <w:rFonts w:ascii="Times New Roman" w:hAnsi="Times New Roman" w:cs="Times New Roman" w:eastAsia="Times New Roma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EE0000"/>
          <w:sz w:val="24"/>
        </w:rPr>
        <w:t xml:space="preserve"> </w:t>
      </w:r>
      <w:r>
        <w:rPr>
          <w:rFonts w:ascii="Times New Roman" w:hAnsi="Times New Roman" w:cs="Times New Roman" w:eastAsia="Times New Roman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Richiamata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la deliberazione di Consiglio Comunale n. 82 del 21/06/2000 con al quale è stato approvato il vigente Regolamento per la concessione in gestione di impianti sportivi, modificato poi con atto di C.C. n.103 del 21.11.2007 e con atto di C.C. n.112 del 06/11/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2017;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Rilevata la necessità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d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i aggiornare e modificare la disciplina regolamentare di affidamento e gestione in uso degli impianti sportivi comunali per adeguarla alla normativa vigente, alle mutate esigenze territoriali, favorire la trasparenza e semplificare le procedure di affidame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nto a favore delle associazioni e società sportive dilettantistiche (ASD/SSD), distinguendo in particolare tra impianti con o senza rilevanza economica; 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  <w:highlight w:val="white"/>
        </w:rPr>
        <w:t xml:space="preserve">Ritenuto</w:t>
      </w:r>
      <w:r>
        <w:rPr>
          <w:rFonts w:ascii="Times New Roman" w:hAnsi="Times New Roman" w:cs="Times New Roman" w:eastAsia="Times New Roman"/>
          <w:color w:val="000000"/>
          <w:sz w:val="24"/>
          <w:highlight w:val="white"/>
        </w:rPr>
        <w:t xml:space="preserve"> di approvare, in allegato al regolamento gli schemi di convenzione per la concessione in gestione degli impianti,</w:t>
      </w:r>
      <w:r>
        <w:rPr>
          <w:highlight w:val="white"/>
        </w:rPr>
      </w:r>
      <w:r/>
    </w:p>
    <w:p>
      <w:pPr>
        <w:ind w:left="0" w:right="0" w:firstLine="0"/>
        <w:jc w:val="both"/>
        <w:spacing w:before="0" w:after="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white"/>
        </w:rPr>
        <w:t xml:space="preserve"> </w:t>
      </w:r>
      <w:r>
        <w:rPr>
          <w:highlight w:val="white"/>
        </w:rPr>
      </w:r>
      <w:r/>
    </w:p>
    <w:p>
      <w:pPr>
        <w:ind w:left="0" w:right="0" w:firstLine="0"/>
        <w:jc w:val="both"/>
        <w:spacing w:before="0" w:after="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  <w:highlight w:val="white"/>
        </w:rPr>
        <w:t xml:space="preserve">Dato atto che </w:t>
      </w:r>
      <w:r>
        <w:rPr>
          <w:rFonts w:ascii="Times New Roman" w:hAnsi="Times New Roman" w:cs="Times New Roman" w:eastAsia="Times New Roman"/>
          <w:color w:val="000000"/>
          <w:sz w:val="24"/>
          <w:highlight w:val="white"/>
        </w:rPr>
        <w:t xml:space="preserve">con il nuovo regolamento sono disciplinate anche le concessioni in uso degli impianti sportivi gestiti direttamente dal Comune, sotto riportati:</w:t>
      </w:r>
      <w:r>
        <w:rPr>
          <w:highlight w:val="white"/>
        </w:rPr>
      </w:r>
      <w:r/>
    </w:p>
    <w:p>
      <w:pPr>
        <w:numPr>
          <w:ilvl w:val="0"/>
          <w:numId w:val="5"/>
        </w:numPr>
        <w:jc w:val="both"/>
        <w:spacing w:before="0" w:after="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white"/>
        </w:rPr>
        <w:t xml:space="preserve">Pala Bandinelli, </w:t>
      </w:r>
      <w:r>
        <w:rPr>
          <w:highlight w:val="white"/>
        </w:rPr>
      </w:r>
      <w:r/>
    </w:p>
    <w:p>
      <w:pPr>
        <w:numPr>
          <w:ilvl w:val="0"/>
          <w:numId w:val="5"/>
        </w:numPr>
        <w:jc w:val="both"/>
        <w:spacing w:before="0" w:after="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white"/>
        </w:rPr>
        <w:t xml:space="preserve">Palestra la Coccinella </w:t>
      </w:r>
      <w:r>
        <w:rPr>
          <w:highlight w:val="white"/>
        </w:rPr>
      </w:r>
      <w:r/>
    </w:p>
    <w:p>
      <w:pPr>
        <w:numPr>
          <w:ilvl w:val="0"/>
          <w:numId w:val="5"/>
        </w:numPr>
        <w:jc w:val="both"/>
        <w:spacing w:before="0" w:after="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white"/>
        </w:rPr>
        <w:t xml:space="preserve">Palestre scolastiche, eccetto Pala bellini e Geodetico Rocchini.</w:t>
      </w:r>
      <w:r>
        <w:rPr>
          <w:highlight w:val="whit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white"/>
        </w:rPr>
      </w:r>
      <w:r>
        <w:rPr>
          <w:rFonts w:ascii="Times New Roman" w:hAnsi="Times New Roman" w:cs="Times New Roman" w:eastAsia="Times New Roman"/>
          <w:color w:val="000000"/>
          <w:sz w:val="24"/>
          <w:highlight w:val="white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EE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Verificata,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quindi, l’esigenza di procedere all’approvazione del nuovo Regolamento e attesa la competenza in merito del Consiglio Comunale ai sensi dell’art. 42 del T.U. degli EE.LL. n. 267/2022</w:t>
      </w:r>
      <w:r>
        <w:rPr>
          <w:rFonts w:ascii="Times New Roman" w:hAnsi="Times New Roman" w:cs="Times New Roman" w:eastAsia="Times New Roman"/>
          <w:color w:val="EE0000"/>
          <w:sz w:val="24"/>
        </w:rPr>
        <w:t xml:space="preserve">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EE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Vista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la proposta di Regolamento predisposta dal Responsabile Settore Sport e Turismo allegata al presente atto </w:t>
      </w:r>
      <w:r>
        <w:rPr>
          <w:rFonts w:ascii="Liberation Serif" w:hAnsi="Liberation Serif" w:cs="Liberation Serif" w:eastAsia="Liberation Serif"/>
          <w:color w:val="000000"/>
          <w:sz w:val="24"/>
        </w:rPr>
        <w:t xml:space="preserve">quale parte integrante e sostanziale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;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after="0" w:line="235" w:lineRule="atLeast"/>
        <w:rPr>
          <w:rFonts w:ascii="Garamond" w:hAnsi="Garamond" w:cs="Garamond" w:eastAsia="Garamond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Garamond" w:hAnsi="Garamond" w:cs="Garamond" w:eastAsia="Garamond"/>
          <w:color w:val="000000"/>
          <w:sz w:val="24"/>
        </w:rPr>
        <w:t xml:space="preserve">Visti</w:t>
      </w:r>
      <w:r>
        <w:rPr>
          <w:sz w:val="22"/>
        </w:rPr>
      </w:r>
      <w:r/>
    </w:p>
    <w:p>
      <w:pPr>
        <w:pStyle w:val="923"/>
        <w:numPr>
          <w:ilvl w:val="0"/>
          <w:numId w:val="4"/>
        </w:numPr>
        <w:ind w:right="0"/>
        <w:spacing w:before="0" w:after="0" w:line="235" w:lineRule="atLeast"/>
        <w:rPr>
          <w:rFonts w:ascii="Garamond" w:hAnsi="Garamond" w:cs="Garamond" w:eastAsia="Garamond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Garamond" w:hAnsi="Garamond" w:cs="Garamond" w:eastAsia="Garamond"/>
          <w:color w:val="000000"/>
          <w:sz w:val="24"/>
        </w:rPr>
        <w:t xml:space="preserve">Il decreto legislativo 18 agosto 2000, n. 267;</w:t>
      </w:r>
      <w:r>
        <w:rPr>
          <w:sz w:val="22"/>
        </w:rPr>
      </w:r>
      <w:r/>
    </w:p>
    <w:p>
      <w:pPr>
        <w:pStyle w:val="923"/>
        <w:numPr>
          <w:ilvl w:val="0"/>
          <w:numId w:val="4"/>
        </w:numPr>
        <w:ind w:right="0"/>
        <w:spacing w:before="0" w:after="0" w:line="235" w:lineRule="atLeast"/>
        <w:rPr>
          <w:rFonts w:ascii="Garamond" w:hAnsi="Garamond" w:cs="Garamond" w:eastAsia="Garamond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Garamond" w:hAnsi="Garamond" w:cs="Garamond" w:eastAsia="Garamond"/>
          <w:color w:val="000000"/>
          <w:sz w:val="24"/>
        </w:rPr>
        <w:t xml:space="preserve">Il decreto legislativo 28 febbraio 2021, n. 38;</w:t>
      </w:r>
      <w:r>
        <w:rPr>
          <w:sz w:val="22"/>
        </w:rPr>
      </w:r>
      <w:r/>
    </w:p>
    <w:p>
      <w:pPr>
        <w:pStyle w:val="923"/>
        <w:numPr>
          <w:ilvl w:val="0"/>
          <w:numId w:val="4"/>
        </w:numPr>
        <w:ind w:right="0"/>
        <w:spacing w:before="0" w:after="0" w:line="235" w:lineRule="atLeast"/>
        <w:rPr>
          <w:rFonts w:ascii="Garamond" w:hAnsi="Garamond" w:cs="Garamond" w:eastAsia="Garamond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Garamond" w:hAnsi="Garamond" w:cs="Garamond" w:eastAsia="Garamond"/>
          <w:color w:val="000000"/>
          <w:sz w:val="24"/>
        </w:rPr>
        <w:t xml:space="preserve">Il decreto legislativo 31 marzo 2023, n. 36;</w:t>
      </w:r>
      <w:r>
        <w:rPr>
          <w:sz w:val="22"/>
        </w:rPr>
      </w:r>
      <w:r/>
    </w:p>
    <w:p>
      <w:pPr>
        <w:pStyle w:val="923"/>
        <w:numPr>
          <w:ilvl w:val="0"/>
          <w:numId w:val="4"/>
        </w:numPr>
        <w:ind w:right="0"/>
        <w:spacing w:before="0" w:after="0" w:line="235" w:lineRule="atLeast"/>
        <w:rPr>
          <w:rFonts w:ascii="Garamond" w:hAnsi="Garamond" w:cs="Garamond" w:eastAsia="Garamond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Garamond" w:hAnsi="Garamond" w:cs="Garamond" w:eastAsia="Garamond"/>
          <w:color w:val="000000"/>
          <w:sz w:val="24"/>
        </w:rPr>
        <w:t xml:space="preserve">la legge regionale Marche 2 aprile 2012, n. 5;</w:t>
      </w:r>
      <w:r>
        <w:rPr>
          <w:sz w:val="22"/>
        </w:rPr>
      </w:r>
      <w:r/>
    </w:p>
    <w:p>
      <w:pPr>
        <w:pStyle w:val="923"/>
        <w:numPr>
          <w:ilvl w:val="0"/>
          <w:numId w:val="4"/>
        </w:numPr>
        <w:ind w:right="0"/>
        <w:spacing w:before="0" w:after="0" w:line="235" w:lineRule="atLeast"/>
        <w:rPr>
          <w:rFonts w:ascii="Garamond" w:hAnsi="Garamond" w:cs="Garamond" w:eastAsia="Garamond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Garamond" w:hAnsi="Garamond" w:cs="Garamond" w:eastAsia="Garamond"/>
          <w:color w:val="000000"/>
          <w:sz w:val="24"/>
        </w:rPr>
        <w:t xml:space="preserve">il regola</w:t>
      </w:r>
      <w:r>
        <w:rPr>
          <w:rFonts w:ascii="Garamond" w:hAnsi="Garamond" w:cs="Garamond" w:eastAsia="Garamond"/>
          <w:color w:val="000000"/>
          <w:sz w:val="24"/>
        </w:rPr>
        <w:t xml:space="preserve">mento regionale Marche 7 agosto 2013, n. 4;</w:t>
      </w:r>
      <w:r>
        <w:rPr>
          <w:sz w:val="22"/>
        </w:rPr>
      </w:r>
      <w:r/>
    </w:p>
    <w:p>
      <w:pPr>
        <w:pStyle w:val="923"/>
        <w:numPr>
          <w:ilvl w:val="0"/>
          <w:numId w:val="4"/>
        </w:numPr>
        <w:ind w:right="0"/>
        <w:spacing w:before="0" w:after="0" w:line="235" w:lineRule="atLeast"/>
        <w:rPr>
          <w:sz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Garamond" w:hAnsi="Garamond" w:cs="Garamond" w:eastAsia="Garamond"/>
          <w:color w:val="000000"/>
          <w:sz w:val="24"/>
        </w:rPr>
        <w:t xml:space="preserve">La </w:t>
      </w:r>
      <w:r>
        <w:rPr>
          <w:rFonts w:ascii="Garamond" w:hAnsi="Garamond" w:cs="Garamond" w:eastAsia="Garamond"/>
          <w:color w:val="000000"/>
          <w:sz w:val="24"/>
        </w:rPr>
        <w:t xml:space="preserve">legge del 7 aprile 2026 , n. 53</w:t>
      </w:r>
      <w:r>
        <w:rPr>
          <w:sz w:val="22"/>
        </w:rPr>
      </w:r>
      <w:r/>
    </w:p>
    <w:p>
      <w:pPr>
        <w:ind w:left="709" w:right="0" w:firstLine="0"/>
        <w:spacing w:before="0" w:after="0" w:line="235" w:lineRule="atLeast"/>
        <w:rPr>
          <w:sz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Garamond" w:hAnsi="Garamond" w:cs="Garamond" w:eastAsia="Garamond"/>
          <w:color w:val="000000"/>
          <w:sz w:val="24"/>
          <w:highlight w:val="none"/>
        </w:rPr>
      </w:r>
      <w:r>
        <w:rPr>
          <w:rFonts w:ascii="Garamond" w:hAnsi="Garamond" w:cs="Garamond" w:eastAsia="Garamond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Acquisiti 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 i seguenti pareri, ai sensi dell’art. 49, comma 1 del D.lgs. n. 267/2000: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72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-PARERE FAVOREVOLE DI REGOLARITÀ TECNICA espresso dalla Dirigente del</w:t>
      </w:r>
      <w:r/>
    </w:p>
    <w:p>
      <w:pPr>
        <w:ind w:left="72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Dipartimento Affari Generali, allegato al presente atto;</w:t>
      </w:r>
      <w:r/>
    </w:p>
    <w:p>
      <w:pPr>
        <w:ind w:left="72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72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-PARERE FAVOREVOLE DI REGOLARITÀ CONTABILE espresso dalla Dirigente del</w:t>
      </w:r>
      <w:r/>
    </w:p>
    <w:p>
      <w:pPr>
        <w:ind w:left="72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Dipartimento delle Finanze, allegato al presente atto;</w:t>
      </w:r>
      <w:r/>
    </w:p>
    <w:p>
      <w:pPr>
        <w:ind w:left="72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EE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 la seguente votazione, espressa in modalità elettronica: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b w:val="0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Presenti</w:t>
      </w:r>
      <w:r>
        <w:rPr>
          <w:b w:val="0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b w:val="0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Votanti</w:t>
      </w:r>
      <w:r>
        <w:rPr>
          <w:b w:val="0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b w:val="0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Favorevoli</w:t>
      </w:r>
      <w:r>
        <w:rPr>
          <w:b w:val="0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b w:val="0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Contrari</w:t>
      </w:r>
      <w:r>
        <w:rPr>
          <w:b w:val="0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b w:val="0"/>
          <w:color w:val="000000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Astenuti</w:t>
      </w:r>
      <w:r>
        <w:rPr>
          <w:b w:val="0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 E L I B E R A</w:t>
      </w:r>
      <w:r/>
    </w:p>
    <w:p>
      <w:pPr>
        <w:ind w:left="72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 </w:t>
      </w:r>
      <w:r/>
    </w:p>
    <w:p>
      <w:pPr>
        <w:numPr>
          <w:ilvl w:val="0"/>
          <w:numId w:val="2"/>
        </w:numPr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le premesse formano parte integrante e sostanziale del presente atto;</w:t>
      </w:r>
      <w:r/>
    </w:p>
    <w:p>
      <w:pPr>
        <w:ind w:left="1134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numPr>
          <w:ilvl w:val="0"/>
          <w:numId w:val="2"/>
        </w:numPr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di approvare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il nuovo “</w:t>
      </w:r>
      <w:r>
        <w:rPr>
          <w:rFonts w:ascii="Times New Roman" w:hAnsi="Times New Roman" w:cs="Times New Roman" w:eastAsia="Times New Roman"/>
          <w:i/>
          <w:color w:val="000000"/>
          <w:sz w:val="24"/>
        </w:rPr>
        <w:t xml:space="preserve">Regolamento comunale per l’affidamento e gestione in uso degli impianti sportivi comunali”,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che si allega al presente atto quale parte integrante e sostanziale;</w:t>
      </w:r>
      <w:r/>
    </w:p>
    <w:p>
      <w:pPr>
        <w:ind w:left="72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 </w:t>
      </w:r>
      <w:r/>
    </w:p>
    <w:p>
      <w:pPr>
        <w:ind w:left="928" w:right="0" w:hanging="361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  <w:highlight w:val="none"/>
        </w:rPr>
        <w:t xml:space="preserve">3.</w:t>
        <w:tab/>
      </w:r>
      <w:r>
        <w:rPr>
          <w:rFonts w:ascii="Times New Roman" w:hAnsi="Times New Roman" w:cs="Times New Roman" w:eastAsia="Times New Roman"/>
          <w:b/>
          <w:color w:val="000000"/>
          <w:sz w:val="24"/>
          <w:highlight w:val="white"/>
        </w:rPr>
        <w:t xml:space="preserve">di approvare, unitamente al Regolamento,</w:t>
      </w:r>
      <w:r>
        <w:rPr>
          <w:rFonts w:ascii="Times New Roman" w:hAnsi="Times New Roman" w:cs="Times New Roman" w:eastAsia="Times New Roman"/>
          <w:color w:val="000000"/>
          <w:sz w:val="24"/>
          <w:highlight w:val="white"/>
        </w:rPr>
        <w:t xml:space="preserve"> gli schemi di convenzione, allegati sotto la lettera A e B, quale parte integrante e sostanziale;</w:t>
      </w:r>
      <w:r>
        <w:rPr>
          <w:highlight w:val="white"/>
        </w:rPr>
      </w:r>
      <w:r/>
    </w:p>
    <w:p>
      <w:pPr>
        <w:ind w:left="928" w:right="0" w:hanging="361"/>
        <w:jc w:val="both"/>
        <w:spacing w:before="0" w:after="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white"/>
        </w:rPr>
        <w:t xml:space="preserve"> </w:t>
      </w:r>
      <w:r>
        <w:rPr>
          <w:highlight w:val="white"/>
        </w:rPr>
      </w:r>
      <w:r/>
    </w:p>
    <w:p>
      <w:pPr>
        <w:ind w:left="992" w:right="0" w:hanging="425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4.</w:t>
        <w:tab/>
        <w:t xml:space="preserve">di dare atto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che il nuovo Regolamento entra in vigore dalla data di esecutività della delibera consiliare di approvazione del medesimo e da tale data abroga le disposizioni del vigente Regolamento in materia e quelle dettate da altri Regolamenti comunali, incompatibil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i o in contrasto con le disposizioni in esso contenute.</w:t>
      </w:r>
      <w:r/>
    </w:p>
    <w:p>
      <w:pPr>
        <w:ind w:left="1134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992" w:right="0" w:hanging="425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5.</w:t>
        <w:tab/>
        <w:t xml:space="preserve">Di demandare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al Responsabile del Settore competente tutti gli atti conseguenti per l'attuazione del presente provvedimento e l'aggiornamento della modulistica per i futuri bandi e avvisi pubblici.</w:t>
      </w:r>
      <w:r/>
    </w:p>
    <w:p>
      <w:pPr>
        <w:ind w:left="992" w:right="0" w:hanging="425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***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La Presidente del Consiglio Comunale pone quindi a votazione la proposta di rendere il presente atto immediatamente eseguibile.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Pertanto,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IL CONSIGLIO COMUNALE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Udita la proposta,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Con la seguente votazione, espressa in modalità elettronica: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Presenti</w:t>
      </w:r>
      <w:r>
        <w:rPr>
          <w:rFonts w:ascii="Times New Roman" w:hAnsi="Times New Roman" w:cs="Times New Roman" w:eastAsia="Times New Roman"/>
          <w:b w:val="0"/>
          <w:color w:val="000000"/>
          <w:sz w:val="24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Votanti</w:t>
      </w:r>
      <w:r>
        <w:rPr>
          <w:rFonts w:ascii="Times New Roman" w:hAnsi="Times New Roman" w:cs="Times New Roman" w:eastAsia="Times New Roman"/>
          <w:b w:val="0"/>
          <w:color w:val="000000"/>
          <w:sz w:val="24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Favorevoli</w:t>
      </w:r>
      <w:r>
        <w:rPr>
          <w:rFonts w:ascii="Times New Roman" w:hAnsi="Times New Roman" w:cs="Times New Roman" w:eastAsia="Times New Roman"/>
          <w:b w:val="0"/>
          <w:color w:val="000000"/>
          <w:sz w:val="24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Contrari</w:t>
      </w:r>
      <w:r>
        <w:rPr>
          <w:rFonts w:ascii="Times New Roman" w:hAnsi="Times New Roman" w:cs="Times New Roman" w:eastAsia="Times New Roman"/>
          <w:b w:val="0"/>
          <w:color w:val="000000"/>
          <w:sz w:val="24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 w:val="0"/>
          <w:color w:val="000000"/>
          <w:sz w:val="24"/>
        </w:rPr>
        <w:t xml:space="preserve">Astenuti</w:t>
      </w:r>
      <w:r>
        <w:rPr>
          <w:rFonts w:ascii="Times New Roman" w:hAnsi="Times New Roman" w:cs="Times New Roman" w:eastAsia="Times New Roman"/>
          <w:b w:val="0"/>
          <w:color w:val="000000"/>
          <w:sz w:val="24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D E L I B E R A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992" w:right="0" w:hanging="425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</w:rPr>
        <w:t xml:space="preserve"> </w:t>
      </w:r>
      <w:r/>
    </w:p>
    <w:p>
      <w:pPr>
        <w:ind w:left="850" w:right="0" w:hanging="283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000000"/>
          <w:sz w:val="24"/>
        </w:rPr>
        <w:t xml:space="preserve">6.</w:t>
        <w:tab/>
        <w:t xml:space="preserve">di dichiarare</w:t>
      </w:r>
      <w:r>
        <w:rPr>
          <w:rFonts w:ascii="Times New Roman" w:hAnsi="Times New Roman" w:cs="Times New Roman" w:eastAsia="Times New Roman"/>
          <w:color w:val="000000"/>
          <w:sz w:val="24"/>
        </w:rPr>
        <w:t xml:space="preserve"> la presente deliberazione immediatamente eseguibile, ai sensi dell’art. 134, c.4, D.lgs. n. 267/2000 al fine di conferire rapida attuazione alla nuova disciplina regolamentare.</w:t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ind w:left="0" w:right="0" w:firstLine="0"/>
        <w:jc w:val="both"/>
        <w:spacing w:before="0" w:after="0"/>
        <w:rPr>
          <w:rFonts w:ascii="Times New Roman" w:hAnsi="Times New Roman" w:cs="Times New Roman" w:eastAsia="Times New Roman"/>
          <w:color w:val="000000"/>
          <w:sz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***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0" w:right="0" w:firstLine="0"/>
        <w:jc w:val="both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  <w:t xml:space="preserve">La seduta prosegue con la trattazione del successivo punto all’ordine del giorno</w:t>
      </w:r>
      <w:r>
        <w:rPr>
          <w:rFonts w:ascii="Times New Roman" w:hAnsi="Times New Roman" w:cs="Times New Roman" w:eastAsia="Times New Roman"/>
          <w:color w:val="000000"/>
          <w:sz w:val="24"/>
          <w:highlight w:val="none"/>
        </w:rPr>
      </w:r>
      <w:r/>
    </w:p>
    <w:p>
      <w:pPr>
        <w:ind w:left="992" w:right="0" w:hanging="425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 w:eastAsia="Liberation Serif"/>
          <w:color w:val="000000"/>
          <w:sz w:val="24"/>
        </w:rPr>
        <w:t xml:space="preserve"> </w:t>
      </w:r>
      <w:r/>
    </w:p>
    <w:p>
      <w:pPr>
        <w:ind w:left="992" w:right="0" w:hanging="425"/>
        <w:jc w:val="left"/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jc w:val="center"/>
      </w:pPr>
      <w:r>
        <w:rPr>
          <w:rFonts w:ascii="Arial" w:hAnsi="Arial" w:cs="Arial" w:eastAsia="Arial"/>
          <w:b/>
          <w:sz w:val="24"/>
          <w:highlight w:val="none"/>
        </w:rPr>
        <w:t xml:space="preserve">***</w:t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jc w:val="both"/>
        <w:rPr>
          <w:bCs/>
          <w:i/>
          <w:sz w:val="20"/>
          <w:szCs w:val="20"/>
        </w:rPr>
      </w:pP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A</w:t>
      </w: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i sensi dell’art.35 del Regolamento del Consiglio Comunale, le sedute pubbliche del Consiglio Comunale vengono riprese e trasmesse via web e sono integralmente registrate su supporto digitale. Dette registrazioni sono consultabili attraverso il sito Intern</w:t>
      </w:r>
      <w:r>
        <w:rPr>
          <w:rFonts w:ascii="Arial" w:hAnsi="Arial" w:cs="Arial" w:eastAsia="Arial"/>
          <w:b/>
          <w:i/>
          <w:iCs/>
          <w:sz w:val="20"/>
          <w:szCs w:val="20"/>
          <w:highlight w:val="none"/>
        </w:rPr>
        <w:t xml:space="preserve">et del Comune.</w:t>
      </w:r>
      <w:r>
        <w:rPr>
          <w:bCs/>
          <w:i/>
          <w:sz w:val="20"/>
          <w:szCs w:val="20"/>
        </w:rPr>
      </w:r>
      <w:r/>
    </w:p>
    <w:p>
      <w:pPr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  <w:t xml:space="preserve">***</w:t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603050405020304"/>
  </w:font>
  <w:font w:name="Tahoma">
    <w:panose1 w:val="020B0604030504040204"/>
  </w:font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Arial">
    <w:panose1 w:val="020B0604020202020204"/>
  </w:font>
  <w:font w:name="SimSun">
    <w:panose1 w:val="02020603020101020101"/>
  </w:font>
  <w:font w:name="Courier New">
    <w:panose1 w:val="02070309020205020404"/>
  </w:font>
  <w:font w:name="Mangal">
    <w:panose1 w:val="02020603050405020304"/>
  </w:font>
  <w:font w:name="Liberation Serif">
    <w:panose1 w:val="020206030504050203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center"/>
      <w:spacing w:before="0" w:after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  <w:highlight w:val="none"/>
      </w:rPr>
    </w:r>
    <w:r/>
  </w:p>
  <w:p>
    <w:pPr>
      <w:ind w:left="0" w:right="0" w:firstLine="0"/>
      <w:jc w:val="left"/>
      <w:spacing w:before="0" w:after="0"/>
      <w:rPr>
        <w:rFonts w:ascii="Arial" w:hAnsi="Arial" w:cs="Arial" w:eastAsia="Arial"/>
        <w:color w:val="000000"/>
        <w:highlight w:val="none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</w:rPr>
      <w:t xml:space="preserve">Proposta di </w:t>
    </w:r>
    <w:r>
      <w:rPr>
        <w:rFonts w:ascii="Arial" w:hAnsi="Arial" w:cs="Arial" w:eastAsia="Arial"/>
        <w:color w:val="000000"/>
        <w:sz w:val="18"/>
      </w:rPr>
      <w:t xml:space="preserve">Delibera di Consiglio</w:t>
    </w:r>
    <w:r>
      <w:rPr>
        <w:rFonts w:ascii="Arial" w:hAnsi="Arial" w:cs="Arial" w:eastAsia="Arial"/>
        <w:color w:val="000000"/>
        <w:sz w:val="18"/>
      </w:rPr>
      <w:t xml:space="preserve"> n. 971 del 14/08/2026</w:t>
    </w:r>
    <w:r>
      <w:rPr>
        <w:rFonts w:ascii="Arial" w:hAnsi="Arial" w:cs="Arial" w:eastAsia="Arial"/>
        <w:color w:val="000000"/>
        <w:highlight w:val="none"/>
      </w:rPr>
    </w:r>
    <w:r/>
  </w:p>
  <w:p>
    <w:pPr>
      <w:pStyle w:val="926"/>
      <w:jc w:val="right"/>
      <w:rPr>
        <w:rFonts w:ascii="Arial" w:hAnsi="Arial" w:cs="Arial" w:eastAsia="Arial"/>
        <w:highlight w:val="none"/>
      </w:rPr>
    </w:pPr>
    <w:r>
      <w:rPr>
        <w:rFonts w:ascii="Arial" w:hAnsi="Arial" w:cs="Arial" w:eastAsia="Arial"/>
        <w:sz w:val="18"/>
      </w:rPr>
      <w:t xml:space="preserve">Pag. </w:t>
    </w:r>
    <w:fldSimple w:instr="PAGE \* MERGEFORMAT">
      <w:r>
        <w:rPr>
          <w:rFonts w:ascii="Arial" w:hAnsi="Arial" w:cs="Arial" w:eastAsia="Arial"/>
          <w:sz w:val="18"/>
        </w:rPr>
        <w:t xml:space="preserve">1</w:t>
      </w:r>
    </w:fldSimple>
    <w:r>
      <w:rPr>
        <w:rFonts w:ascii="Arial" w:hAnsi="Arial" w:cs="Arial" w:eastAsia="Arial"/>
        <w:sz w:val="18"/>
      </w:rPr>
    </w:r>
    <w:r>
      <w:rPr>
        <w:rFonts w:ascii="Arial" w:hAnsi="Arial" w:cs="Arial" w:eastAsia="Arial"/>
        <w:highlight w:val="none"/>
      </w:rPr>
    </w:r>
    <w:r/>
  </w:p>
  <w:p>
    <w:r/>
    <w:r/>
  </w:p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4"/>
    </w:pPr>
    <w:r/>
    <w:r/>
  </w:p>
  <w:p>
    <w:r>
      <w:rPr>
        <w:rFonts w:ascii="Times New Roman" w:hAnsi="Times New Roman" w:cs="Times New Roman" w:eastAsia="Times New Roman"/>
        <w:lang w:bidi="ar-SA" w:eastAsia="it-IT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-144145</wp:posOffset>
              </wp:positionV>
              <wp:extent cx="1444625" cy="1776730"/>
              <wp:effectExtent l="0" t="0" r="0" b="0"/>
              <wp:wrapNone/>
              <wp:docPr id="1" name="Immagine 1" descr="logo1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6180020" name="Immagine 1" descr="logo1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1444624" cy="177672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text;margin-left:-17.8pt;mso-position-horizontal:absolute;mso-position-vertical-relative:text;margin-top:-11.3pt;mso-position-vertical:absolute;width:113.8pt;height:139.9pt;rotation:0;" stroked="false">
              <v:path textboxrect="0,0,0,0"/>
              <v:imagedata r:id="rId1" o:title=""/>
            </v:shape>
          </w:pict>
        </mc:Fallback>
      </mc:AlternateContent>
    </w:r>
    <w:r/>
  </w:p>
  <w:p>
    <w:pPr>
      <w:pStyle w:val="967"/>
    </w:pPr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Arial" w:hAnsi="Arial" w:cs="Arial" w:eastAsia="Aria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ascii="Wingdings" w:hAnsi="Wingdings" w:cs="Wingdings" w:eastAsia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cs="Mangal" w:eastAsia="SimSun" w:hint="default"/>
        <w:sz w:val="24"/>
        <w:szCs w:val="24"/>
        <w:lang w:val="it-IT" w:bidi="hi-IN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1">
    <w:name w:val="Normal"/>
    <w:qFormat/>
  </w:style>
  <w:style w:type="character" w:styleId="742">
    <w:name w:val="Default Paragraph Font"/>
    <w:uiPriority w:val="1"/>
    <w:semiHidden/>
    <w:unhideWhenUsed/>
  </w:style>
  <w:style w:type="numbering" w:styleId="743">
    <w:name w:val="No List"/>
    <w:uiPriority w:val="99"/>
    <w:semiHidden/>
    <w:unhideWhenUsed/>
  </w:style>
  <w:style w:type="paragraph" w:styleId="744">
    <w:name w:val="Heading 1"/>
    <w:basedOn w:val="741"/>
    <w:next w:val="741"/>
    <w:link w:val="745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745">
    <w:name w:val="Heading 1 Char"/>
    <w:basedOn w:val="742"/>
    <w:link w:val="744"/>
    <w:uiPriority w:val="9"/>
    <w:rPr>
      <w:rFonts w:ascii="Arial" w:hAnsi="Arial" w:cs="Arial" w:eastAsia="Arial"/>
      <w:sz w:val="40"/>
      <w:szCs w:val="40"/>
    </w:rPr>
  </w:style>
  <w:style w:type="paragraph" w:styleId="746">
    <w:name w:val="Heading 2"/>
    <w:basedOn w:val="741"/>
    <w:next w:val="741"/>
    <w:link w:val="7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747">
    <w:name w:val="Heading 2 Char"/>
    <w:basedOn w:val="742"/>
    <w:link w:val="746"/>
    <w:uiPriority w:val="9"/>
    <w:rPr>
      <w:rFonts w:ascii="Arial" w:hAnsi="Arial" w:cs="Arial" w:eastAsia="Arial"/>
      <w:sz w:val="34"/>
    </w:rPr>
  </w:style>
  <w:style w:type="paragraph" w:styleId="748">
    <w:name w:val="Heading 3"/>
    <w:basedOn w:val="741"/>
    <w:next w:val="741"/>
    <w:link w:val="74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749">
    <w:name w:val="Heading 3 Char"/>
    <w:basedOn w:val="742"/>
    <w:link w:val="748"/>
    <w:uiPriority w:val="9"/>
    <w:rPr>
      <w:rFonts w:ascii="Arial" w:hAnsi="Arial" w:cs="Arial" w:eastAsia="Arial"/>
      <w:sz w:val="30"/>
      <w:szCs w:val="30"/>
    </w:rPr>
  </w:style>
  <w:style w:type="paragraph" w:styleId="750">
    <w:name w:val="Heading 4"/>
    <w:basedOn w:val="741"/>
    <w:next w:val="741"/>
    <w:link w:val="75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751">
    <w:name w:val="Heading 4 Char"/>
    <w:basedOn w:val="742"/>
    <w:link w:val="750"/>
    <w:uiPriority w:val="9"/>
    <w:rPr>
      <w:rFonts w:ascii="Arial" w:hAnsi="Arial" w:cs="Arial" w:eastAsia="Arial"/>
      <w:b/>
      <w:bCs/>
      <w:sz w:val="26"/>
      <w:szCs w:val="26"/>
    </w:rPr>
  </w:style>
  <w:style w:type="paragraph" w:styleId="752">
    <w:name w:val="Heading 5"/>
    <w:basedOn w:val="741"/>
    <w:next w:val="741"/>
    <w:link w:val="75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753">
    <w:name w:val="Heading 5 Char"/>
    <w:basedOn w:val="742"/>
    <w:link w:val="752"/>
    <w:uiPriority w:val="9"/>
    <w:rPr>
      <w:rFonts w:ascii="Arial" w:hAnsi="Arial" w:cs="Arial" w:eastAsia="Arial"/>
      <w:b/>
      <w:bCs/>
      <w:sz w:val="24"/>
      <w:szCs w:val="24"/>
    </w:rPr>
  </w:style>
  <w:style w:type="paragraph" w:styleId="754">
    <w:name w:val="Heading 6"/>
    <w:basedOn w:val="741"/>
    <w:next w:val="741"/>
    <w:link w:val="75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755">
    <w:name w:val="Heading 6 Char"/>
    <w:basedOn w:val="742"/>
    <w:link w:val="754"/>
    <w:uiPriority w:val="9"/>
    <w:rPr>
      <w:rFonts w:ascii="Arial" w:hAnsi="Arial" w:cs="Arial" w:eastAsia="Arial"/>
      <w:b/>
      <w:bCs/>
      <w:sz w:val="22"/>
      <w:szCs w:val="22"/>
    </w:rPr>
  </w:style>
  <w:style w:type="paragraph" w:styleId="756">
    <w:name w:val="Heading 7"/>
    <w:basedOn w:val="741"/>
    <w:next w:val="741"/>
    <w:link w:val="75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757">
    <w:name w:val="Heading 7 Char"/>
    <w:basedOn w:val="742"/>
    <w:link w:val="75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58">
    <w:name w:val="Heading 8"/>
    <w:basedOn w:val="741"/>
    <w:next w:val="741"/>
    <w:link w:val="75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759">
    <w:name w:val="Heading 8 Char"/>
    <w:basedOn w:val="742"/>
    <w:link w:val="758"/>
    <w:uiPriority w:val="9"/>
    <w:rPr>
      <w:rFonts w:ascii="Arial" w:hAnsi="Arial" w:cs="Arial" w:eastAsia="Arial"/>
      <w:i/>
      <w:iCs/>
      <w:sz w:val="22"/>
      <w:szCs w:val="22"/>
    </w:rPr>
  </w:style>
  <w:style w:type="paragraph" w:styleId="760">
    <w:name w:val="Heading 9"/>
    <w:basedOn w:val="741"/>
    <w:next w:val="741"/>
    <w:link w:val="7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61">
    <w:name w:val="Heading 9 Char"/>
    <w:basedOn w:val="742"/>
    <w:link w:val="760"/>
    <w:uiPriority w:val="9"/>
    <w:rPr>
      <w:rFonts w:ascii="Arial" w:hAnsi="Arial" w:cs="Arial" w:eastAsia="Arial"/>
      <w:i/>
      <w:iCs/>
      <w:sz w:val="21"/>
      <w:szCs w:val="21"/>
    </w:rPr>
  </w:style>
  <w:style w:type="paragraph" w:styleId="762">
    <w:name w:val="List Paragraph"/>
    <w:basedOn w:val="741"/>
    <w:uiPriority w:val="34"/>
    <w:qFormat/>
    <w:pPr>
      <w:contextualSpacing/>
      <w:ind w:left="720"/>
    </w:pPr>
  </w:style>
  <w:style w:type="table" w:styleId="76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64">
    <w:name w:val="No Spacing"/>
    <w:uiPriority w:val="1"/>
    <w:qFormat/>
    <w:pPr>
      <w:spacing w:before="0" w:after="0" w:line="240" w:lineRule="auto"/>
    </w:pPr>
  </w:style>
  <w:style w:type="paragraph" w:styleId="765">
    <w:name w:val="Title"/>
    <w:basedOn w:val="741"/>
    <w:next w:val="741"/>
    <w:link w:val="76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6">
    <w:name w:val="Title Char"/>
    <w:basedOn w:val="742"/>
    <w:link w:val="765"/>
    <w:uiPriority w:val="10"/>
    <w:rPr>
      <w:sz w:val="48"/>
      <w:szCs w:val="48"/>
    </w:rPr>
  </w:style>
  <w:style w:type="paragraph" w:styleId="767">
    <w:name w:val="Subtitle"/>
    <w:basedOn w:val="741"/>
    <w:next w:val="741"/>
    <w:link w:val="768"/>
    <w:uiPriority w:val="11"/>
    <w:qFormat/>
    <w:pPr>
      <w:spacing w:before="200" w:after="200"/>
    </w:pPr>
    <w:rPr>
      <w:sz w:val="24"/>
      <w:szCs w:val="24"/>
    </w:rPr>
  </w:style>
  <w:style w:type="character" w:styleId="768">
    <w:name w:val="Subtitle Char"/>
    <w:basedOn w:val="742"/>
    <w:link w:val="767"/>
    <w:uiPriority w:val="11"/>
    <w:rPr>
      <w:sz w:val="24"/>
      <w:szCs w:val="24"/>
    </w:rPr>
  </w:style>
  <w:style w:type="paragraph" w:styleId="769">
    <w:name w:val="Quote"/>
    <w:basedOn w:val="741"/>
    <w:next w:val="741"/>
    <w:link w:val="770"/>
    <w:uiPriority w:val="29"/>
    <w:qFormat/>
    <w:pPr>
      <w:ind w:left="720" w:right="720"/>
    </w:pPr>
    <w:rPr>
      <w:i/>
    </w:rPr>
  </w:style>
  <w:style w:type="character" w:styleId="770">
    <w:name w:val="Quote Char"/>
    <w:link w:val="769"/>
    <w:uiPriority w:val="29"/>
    <w:rPr>
      <w:i/>
    </w:rPr>
  </w:style>
  <w:style w:type="paragraph" w:styleId="771">
    <w:name w:val="Intense Quote"/>
    <w:basedOn w:val="741"/>
    <w:next w:val="741"/>
    <w:link w:val="77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2">
    <w:name w:val="Intense Quote Char"/>
    <w:link w:val="771"/>
    <w:uiPriority w:val="30"/>
    <w:rPr>
      <w:i/>
    </w:rPr>
  </w:style>
  <w:style w:type="paragraph" w:styleId="773">
    <w:name w:val="Header"/>
    <w:basedOn w:val="741"/>
    <w:link w:val="77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4">
    <w:name w:val="Header Char"/>
    <w:basedOn w:val="742"/>
    <w:link w:val="773"/>
    <w:uiPriority w:val="99"/>
  </w:style>
  <w:style w:type="paragraph" w:styleId="775">
    <w:name w:val="Footer"/>
    <w:basedOn w:val="741"/>
    <w:link w:val="77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6">
    <w:name w:val="Footer Char"/>
    <w:basedOn w:val="742"/>
    <w:link w:val="775"/>
    <w:uiPriority w:val="99"/>
  </w:style>
  <w:style w:type="paragraph" w:styleId="777">
    <w:name w:val="Caption"/>
    <w:basedOn w:val="741"/>
    <w:next w:val="7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8">
    <w:name w:val="Caption Char"/>
    <w:basedOn w:val="777"/>
    <w:link w:val="775"/>
    <w:uiPriority w:val="99"/>
  </w:style>
  <w:style w:type="table" w:styleId="779">
    <w:name w:val="Table Grid"/>
    <w:basedOn w:val="76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basedOn w:val="7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basedOn w:val="76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2">
    <w:name w:val="Plain Table 2"/>
    <w:basedOn w:val="76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3">
    <w:name w:val="Plain Table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9">
    <w:name w:val="Grid Table 4 - Accent 2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Grid Table 4 - Accent 3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1">
    <w:name w:val="Grid Table 4 - Accent 4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Grid Table 4 - Accent 5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basedOn w:val="76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2">
    <w:name w:val="Grid Table 6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3">
    <w:name w:val="Grid Table 6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4">
    <w:name w:val="Grid Table 6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5">
    <w:name w:val="Grid Table 6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6">
    <w:name w:val="Grid Table 6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7">
    <w:name w:val="Grid Table 6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8">
    <w:name w:val="Grid Table 7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3">
    <w:name w:val="List Table 2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4">
    <w:name w:val="List Table 2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5">
    <w:name w:val="List Table 2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6">
    <w:name w:val="List Table 2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7">
    <w:name w:val="List Table 2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8">
    <w:name w:val="List Table 2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9">
    <w:name w:val="List Table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5 Dark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6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1">
    <w:name w:val="List Table 6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3">
    <w:name w:val="List Table 6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4">
    <w:name w:val="List Table 6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5">
    <w:name w:val="List Table 6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6">
    <w:name w:val="List Table 6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7">
    <w:name w:val="List Table 7 Colorful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8">
    <w:name w:val="List Table 7 Colorful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9">
    <w:name w:val="List Table 7 Colorful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0">
    <w:name w:val="List Table 7 Colorful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1">
    <w:name w:val="List Table 7 Colorful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2">
    <w:name w:val="List Table 7 Colorful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3">
    <w:name w:val="List Table 7 Colorful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4">
    <w:name w:val="Lined - Accent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5">
    <w:name w:val="Lined - Accent 1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6">
    <w:name w:val="Lined - Accent 2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7">
    <w:name w:val="Lined - Accent 3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8">
    <w:name w:val="Lined - Accent 4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9">
    <w:name w:val="Lined - Accent 5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0">
    <w:name w:val="Lined - Accent 6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1">
    <w:name w:val="Bordered &amp; Lined - Accent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2">
    <w:name w:val="Bordered &amp; Lined - Accent 1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3">
    <w:name w:val="Bordered &amp; Lined - Accent 2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4">
    <w:name w:val="Bordered &amp; Lined - Accent 3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5">
    <w:name w:val="Bordered &amp; Lined - Accent 4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6">
    <w:name w:val="Bordered &amp; Lined - Accent 5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7">
    <w:name w:val="Bordered &amp; Lined - Accent 6"/>
    <w:basedOn w:val="76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8">
    <w:name w:val="Bordered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9">
    <w:name w:val="Bordered - Accent 1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1">
    <w:name w:val="Bordered - Accent 3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2">
    <w:name w:val="Bordered - Accent 4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3">
    <w:name w:val="Bordered - Accent 5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4">
    <w:name w:val="Bordered - Accent 6"/>
    <w:basedOn w:val="76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5">
    <w:name w:val="Hyperlink"/>
    <w:uiPriority w:val="99"/>
    <w:unhideWhenUsed/>
    <w:rPr>
      <w:color w:val="0000FF" w:themeColor="hyperlink"/>
      <w:u w:val="single"/>
    </w:rPr>
  </w:style>
  <w:style w:type="paragraph" w:styleId="906">
    <w:name w:val="footnote text"/>
    <w:basedOn w:val="741"/>
    <w:link w:val="907"/>
    <w:uiPriority w:val="99"/>
    <w:semiHidden/>
    <w:unhideWhenUsed/>
    <w:pPr>
      <w:spacing w:after="40" w:line="240" w:lineRule="auto"/>
    </w:pPr>
    <w:rPr>
      <w:sz w:val="18"/>
    </w:rPr>
  </w:style>
  <w:style w:type="character" w:styleId="907">
    <w:name w:val="Footnote Text Char"/>
    <w:link w:val="906"/>
    <w:uiPriority w:val="99"/>
    <w:rPr>
      <w:sz w:val="18"/>
    </w:rPr>
  </w:style>
  <w:style w:type="character" w:styleId="908">
    <w:name w:val="footnote reference"/>
    <w:basedOn w:val="742"/>
    <w:uiPriority w:val="99"/>
    <w:unhideWhenUsed/>
    <w:rPr>
      <w:vertAlign w:val="superscript"/>
    </w:rPr>
  </w:style>
  <w:style w:type="paragraph" w:styleId="909">
    <w:name w:val="endnote text"/>
    <w:basedOn w:val="741"/>
    <w:link w:val="910"/>
    <w:uiPriority w:val="99"/>
    <w:semiHidden/>
    <w:unhideWhenUsed/>
    <w:pPr>
      <w:spacing w:after="0" w:line="240" w:lineRule="auto"/>
    </w:pPr>
    <w:rPr>
      <w:sz w:val="20"/>
    </w:rPr>
  </w:style>
  <w:style w:type="character" w:styleId="910">
    <w:name w:val="Endnote Text Char"/>
    <w:link w:val="909"/>
    <w:uiPriority w:val="99"/>
    <w:rPr>
      <w:sz w:val="20"/>
    </w:rPr>
  </w:style>
  <w:style w:type="character" w:styleId="911">
    <w:name w:val="endnote reference"/>
    <w:basedOn w:val="742"/>
    <w:uiPriority w:val="99"/>
    <w:semiHidden/>
    <w:unhideWhenUsed/>
    <w:rPr>
      <w:vertAlign w:val="superscript"/>
    </w:rPr>
  </w:style>
  <w:style w:type="paragraph" w:styleId="912">
    <w:name w:val="toc 1"/>
    <w:basedOn w:val="741"/>
    <w:next w:val="741"/>
    <w:uiPriority w:val="39"/>
    <w:unhideWhenUsed/>
    <w:pPr>
      <w:ind w:left="0" w:right="0" w:firstLine="0"/>
      <w:spacing w:after="57"/>
    </w:pPr>
  </w:style>
  <w:style w:type="paragraph" w:styleId="913">
    <w:name w:val="toc 2"/>
    <w:basedOn w:val="741"/>
    <w:next w:val="741"/>
    <w:uiPriority w:val="39"/>
    <w:unhideWhenUsed/>
    <w:pPr>
      <w:ind w:left="283" w:right="0" w:firstLine="0"/>
      <w:spacing w:after="57"/>
    </w:pPr>
  </w:style>
  <w:style w:type="paragraph" w:styleId="914">
    <w:name w:val="toc 3"/>
    <w:basedOn w:val="741"/>
    <w:next w:val="741"/>
    <w:uiPriority w:val="39"/>
    <w:unhideWhenUsed/>
    <w:pPr>
      <w:ind w:left="567" w:right="0" w:firstLine="0"/>
      <w:spacing w:after="57"/>
    </w:pPr>
  </w:style>
  <w:style w:type="paragraph" w:styleId="915">
    <w:name w:val="toc 4"/>
    <w:basedOn w:val="741"/>
    <w:next w:val="741"/>
    <w:uiPriority w:val="39"/>
    <w:unhideWhenUsed/>
    <w:pPr>
      <w:ind w:left="850" w:right="0" w:firstLine="0"/>
      <w:spacing w:after="57"/>
    </w:pPr>
  </w:style>
  <w:style w:type="paragraph" w:styleId="916">
    <w:name w:val="toc 5"/>
    <w:basedOn w:val="741"/>
    <w:next w:val="741"/>
    <w:uiPriority w:val="39"/>
    <w:unhideWhenUsed/>
    <w:pPr>
      <w:ind w:left="1134" w:right="0" w:firstLine="0"/>
      <w:spacing w:after="57"/>
    </w:pPr>
  </w:style>
  <w:style w:type="paragraph" w:styleId="917">
    <w:name w:val="toc 6"/>
    <w:basedOn w:val="741"/>
    <w:next w:val="741"/>
    <w:uiPriority w:val="39"/>
    <w:unhideWhenUsed/>
    <w:pPr>
      <w:ind w:left="1417" w:right="0" w:firstLine="0"/>
      <w:spacing w:after="57"/>
    </w:pPr>
  </w:style>
  <w:style w:type="paragraph" w:styleId="918">
    <w:name w:val="toc 7"/>
    <w:basedOn w:val="741"/>
    <w:next w:val="741"/>
    <w:uiPriority w:val="39"/>
    <w:unhideWhenUsed/>
    <w:pPr>
      <w:ind w:left="1701" w:right="0" w:firstLine="0"/>
      <w:spacing w:after="57"/>
    </w:pPr>
  </w:style>
  <w:style w:type="paragraph" w:styleId="919">
    <w:name w:val="toc 8"/>
    <w:basedOn w:val="741"/>
    <w:next w:val="741"/>
    <w:uiPriority w:val="39"/>
    <w:unhideWhenUsed/>
    <w:pPr>
      <w:ind w:left="1984" w:right="0" w:firstLine="0"/>
      <w:spacing w:after="57"/>
    </w:pPr>
  </w:style>
  <w:style w:type="paragraph" w:styleId="920">
    <w:name w:val="toc 9"/>
    <w:basedOn w:val="741"/>
    <w:next w:val="741"/>
    <w:uiPriority w:val="39"/>
    <w:unhideWhenUsed/>
    <w:pPr>
      <w:ind w:left="2268" w:right="0" w:firstLine="0"/>
      <w:spacing w:after="57"/>
    </w:pPr>
  </w:style>
  <w:style w:type="paragraph" w:styleId="921">
    <w:name w:val="TOC Heading"/>
    <w:uiPriority w:val="39"/>
    <w:unhideWhenUsed/>
  </w:style>
  <w:style w:type="paragraph" w:styleId="922">
    <w:name w:val="table of figures"/>
    <w:basedOn w:val="741"/>
    <w:next w:val="741"/>
    <w:uiPriority w:val="99"/>
    <w:unhideWhenUsed/>
    <w:pPr>
      <w:spacing w:after="0" w:afterAutospacing="0"/>
    </w:pPr>
  </w:style>
  <w:style w:type="paragraph" w:styleId="923">
    <w:name w:val="List Paragraph 8f484f2e70487567597345c76e9e258e"/>
    <w:basedOn w:val="939"/>
    <w:uiPriority w:val="34"/>
    <w:qFormat/>
    <w:pPr>
      <w:contextualSpacing/>
      <w:ind w:left="720"/>
    </w:pPr>
  </w:style>
  <w:style w:type="paragraph" w:styleId="924">
    <w:name w:val="Header 8f484f2e70487567597345c76e9e258e"/>
    <w:basedOn w:val="939"/>
    <w:link w:val="9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25">
    <w:name w:val="Header Char 8f484f2e70487567597345c76e9e258e"/>
    <w:link w:val="924"/>
    <w:uiPriority w:val="99"/>
  </w:style>
  <w:style w:type="paragraph" w:styleId="926">
    <w:name w:val="Footer 8f484f2e70487567597345c76e9e258e"/>
    <w:basedOn w:val="939"/>
    <w:link w:val="9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27">
    <w:name w:val="Footer Char 8f484f2e70487567597345c76e9e258e"/>
    <w:link w:val="926"/>
    <w:uiPriority w:val="99"/>
  </w:style>
  <w:style w:type="character" w:styleId="928">
    <w:name w:val="Caption Char 8f484f2e70487567597345c76e9e258e"/>
    <w:link w:val="926"/>
    <w:uiPriority w:val="99"/>
  </w:style>
  <w:style w:type="character" w:styleId="929">
    <w:name w:val="Hyperlink 8f484f2e70487567597345c76e9e258e"/>
    <w:uiPriority w:val="99"/>
    <w:unhideWhenUsed/>
    <w:rPr>
      <w:color w:val="0000FF" w:themeColor="hyperlink"/>
      <w:u w:val="single"/>
    </w:rPr>
  </w:style>
  <w:style w:type="paragraph" w:styleId="930">
    <w:name w:val="toc 1 8f484f2e70487567597345c76e9e258e"/>
    <w:basedOn w:val="939"/>
    <w:uiPriority w:val="39"/>
    <w:unhideWhenUsed/>
    <w:pPr>
      <w:ind w:left="0" w:right="0" w:firstLine="0"/>
      <w:spacing w:after="57"/>
    </w:pPr>
  </w:style>
  <w:style w:type="paragraph" w:styleId="931">
    <w:name w:val="toc 2 8f484f2e70487567597345c76e9e258e"/>
    <w:basedOn w:val="939"/>
    <w:uiPriority w:val="39"/>
    <w:unhideWhenUsed/>
    <w:pPr>
      <w:ind w:left="283" w:right="0" w:firstLine="0"/>
      <w:spacing w:after="57"/>
    </w:pPr>
  </w:style>
  <w:style w:type="paragraph" w:styleId="932">
    <w:name w:val="toc 3 8f484f2e70487567597345c76e9e258e"/>
    <w:basedOn w:val="939"/>
    <w:uiPriority w:val="39"/>
    <w:unhideWhenUsed/>
    <w:pPr>
      <w:ind w:left="567" w:right="0" w:firstLine="0"/>
      <w:spacing w:after="57"/>
    </w:pPr>
  </w:style>
  <w:style w:type="paragraph" w:styleId="933">
    <w:name w:val="toc 4 8f484f2e70487567597345c76e9e258e"/>
    <w:basedOn w:val="939"/>
    <w:uiPriority w:val="39"/>
    <w:unhideWhenUsed/>
    <w:pPr>
      <w:ind w:left="850" w:right="0" w:firstLine="0"/>
      <w:spacing w:after="57"/>
    </w:pPr>
  </w:style>
  <w:style w:type="paragraph" w:styleId="934">
    <w:name w:val="toc 5 8f484f2e70487567597345c76e9e258e"/>
    <w:basedOn w:val="939"/>
    <w:uiPriority w:val="39"/>
    <w:unhideWhenUsed/>
    <w:pPr>
      <w:ind w:left="1134" w:right="0" w:firstLine="0"/>
      <w:spacing w:after="57"/>
    </w:pPr>
  </w:style>
  <w:style w:type="paragraph" w:styleId="935">
    <w:name w:val="toc 6 8f484f2e70487567597345c76e9e258e"/>
    <w:basedOn w:val="939"/>
    <w:uiPriority w:val="39"/>
    <w:unhideWhenUsed/>
    <w:pPr>
      <w:ind w:left="1417" w:right="0" w:firstLine="0"/>
      <w:spacing w:after="57"/>
    </w:pPr>
  </w:style>
  <w:style w:type="paragraph" w:styleId="936">
    <w:name w:val="toc 7 8f484f2e70487567597345c76e9e258e"/>
    <w:basedOn w:val="939"/>
    <w:uiPriority w:val="39"/>
    <w:unhideWhenUsed/>
    <w:pPr>
      <w:ind w:left="1701" w:right="0" w:firstLine="0"/>
      <w:spacing w:after="57"/>
    </w:pPr>
  </w:style>
  <w:style w:type="paragraph" w:styleId="937">
    <w:name w:val="toc 8 8f484f2e70487567597345c76e9e258e"/>
    <w:basedOn w:val="939"/>
    <w:uiPriority w:val="39"/>
    <w:unhideWhenUsed/>
    <w:pPr>
      <w:ind w:left="1984" w:right="0" w:firstLine="0"/>
      <w:spacing w:after="57"/>
    </w:pPr>
  </w:style>
  <w:style w:type="paragraph" w:styleId="938">
    <w:name w:val="toc 9 8f484f2e70487567597345c76e9e258e"/>
    <w:basedOn w:val="939"/>
    <w:uiPriority w:val="39"/>
    <w:unhideWhenUsed/>
    <w:pPr>
      <w:ind w:left="2268" w:right="0" w:firstLine="0"/>
      <w:spacing w:after="57"/>
    </w:pPr>
  </w:style>
  <w:style w:type="paragraph" w:styleId="939" w:default="1">
    <w:name w:val="Normal 8f484f2e70487567597345c76e9e258e"/>
    <w:qFormat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40" w:default="1">
    <w:name w:val="Default Paragraph Font 8f484f2e70487567597345c76e9e258e"/>
    <w:uiPriority w:val="1"/>
    <w:semiHidden/>
    <w:unhideWhenUsed/>
  </w:style>
  <w:style w:type="numbering" w:styleId="941" w:default="1">
    <w:name w:val="No List 8f484f2e70487567597345c76e9e258e"/>
    <w:uiPriority w:val="99"/>
    <w:semiHidden/>
    <w:unhideWhenUsed/>
  </w:style>
  <w:style w:type="table" w:styleId="942" w:default="1">
    <w:name w:val="Normal Table 8f484f2e70487567597345c76e9e258e"/>
    <w:uiPriority w:val="99"/>
    <w:semiHidden/>
    <w:unhideWhenUsed/>
    <w:tblPr/>
  </w:style>
  <w:style w:type="character" w:styleId="943">
    <w:name w:val="Hyperlink b67a8a1050e3101fee3ddb4e34a090ae"/>
    <w:uiPriority w:val="99"/>
    <w:unhideWhenUsed/>
    <w:rPr>
      <w:color w:val="0000FF" w:themeColor="hyperlink"/>
      <w:u w:val="single"/>
    </w:rPr>
  </w:style>
  <w:style w:type="paragraph" w:styleId="944">
    <w:name w:val="toc 1 b67a8a1050e3101fee3ddb4e34a090ae"/>
    <w:basedOn w:val="953"/>
    <w:uiPriority w:val="39"/>
    <w:unhideWhenUsed/>
    <w:pPr>
      <w:ind w:left="0" w:right="0" w:firstLine="0"/>
      <w:spacing w:after="57"/>
    </w:pPr>
  </w:style>
  <w:style w:type="paragraph" w:styleId="945">
    <w:name w:val="toc 2 b67a8a1050e3101fee3ddb4e34a090ae"/>
    <w:basedOn w:val="953"/>
    <w:uiPriority w:val="39"/>
    <w:unhideWhenUsed/>
    <w:pPr>
      <w:ind w:left="283" w:right="0" w:firstLine="0"/>
      <w:spacing w:after="57"/>
    </w:pPr>
  </w:style>
  <w:style w:type="paragraph" w:styleId="946">
    <w:name w:val="toc 3 b67a8a1050e3101fee3ddb4e34a090ae"/>
    <w:basedOn w:val="953"/>
    <w:uiPriority w:val="39"/>
    <w:unhideWhenUsed/>
    <w:pPr>
      <w:ind w:left="567" w:right="0" w:firstLine="0"/>
      <w:spacing w:after="57"/>
    </w:pPr>
  </w:style>
  <w:style w:type="paragraph" w:styleId="947">
    <w:name w:val="toc 4 b67a8a1050e3101fee3ddb4e34a090ae"/>
    <w:basedOn w:val="953"/>
    <w:uiPriority w:val="39"/>
    <w:unhideWhenUsed/>
    <w:pPr>
      <w:ind w:left="850" w:right="0" w:firstLine="0"/>
      <w:spacing w:after="57"/>
    </w:pPr>
  </w:style>
  <w:style w:type="paragraph" w:styleId="948">
    <w:name w:val="toc 5 b67a8a1050e3101fee3ddb4e34a090ae"/>
    <w:basedOn w:val="953"/>
    <w:uiPriority w:val="39"/>
    <w:unhideWhenUsed/>
    <w:pPr>
      <w:ind w:left="1134" w:right="0" w:firstLine="0"/>
      <w:spacing w:after="57"/>
    </w:pPr>
  </w:style>
  <w:style w:type="paragraph" w:styleId="949">
    <w:name w:val="toc 6 b67a8a1050e3101fee3ddb4e34a090ae"/>
    <w:basedOn w:val="953"/>
    <w:uiPriority w:val="39"/>
    <w:unhideWhenUsed/>
    <w:pPr>
      <w:ind w:left="1417" w:right="0" w:firstLine="0"/>
      <w:spacing w:after="57"/>
    </w:pPr>
  </w:style>
  <w:style w:type="paragraph" w:styleId="950">
    <w:name w:val="toc 7 b67a8a1050e3101fee3ddb4e34a090ae"/>
    <w:basedOn w:val="953"/>
    <w:uiPriority w:val="39"/>
    <w:unhideWhenUsed/>
    <w:pPr>
      <w:ind w:left="1701" w:right="0" w:firstLine="0"/>
      <w:spacing w:after="57"/>
    </w:pPr>
  </w:style>
  <w:style w:type="paragraph" w:styleId="951">
    <w:name w:val="toc 8 b67a8a1050e3101fee3ddb4e34a090ae"/>
    <w:basedOn w:val="953"/>
    <w:uiPriority w:val="39"/>
    <w:unhideWhenUsed/>
    <w:pPr>
      <w:ind w:left="1984" w:right="0" w:firstLine="0"/>
      <w:spacing w:after="57"/>
    </w:pPr>
  </w:style>
  <w:style w:type="paragraph" w:styleId="952">
    <w:name w:val="toc 9 b67a8a1050e3101fee3ddb4e34a090ae"/>
    <w:basedOn w:val="953"/>
    <w:uiPriority w:val="39"/>
    <w:unhideWhenUsed/>
    <w:pPr>
      <w:ind w:left="2268" w:right="0" w:firstLine="0"/>
      <w:spacing w:after="57"/>
    </w:pPr>
  </w:style>
  <w:style w:type="paragraph" w:styleId="953">
    <w:name w:val="Normal b67a8a1050e3101fee3ddb4e34a090ae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54">
    <w:name w:val="Default Paragraph Font b67a8a1050e3101fee3ddb4e34a090ae"/>
    <w:uiPriority w:val="1"/>
    <w:semiHidden/>
    <w:unhideWhenUsed/>
  </w:style>
  <w:style w:type="numbering" w:styleId="955">
    <w:name w:val="No List b67a8a1050e3101fee3ddb4e34a090ae"/>
    <w:uiPriority w:val="99"/>
    <w:semiHidden/>
    <w:unhideWhenUsed/>
  </w:style>
  <w:style w:type="table" w:styleId="956">
    <w:name w:val="Normal Table b67a8a1050e3101fee3ddb4e34a090ae"/>
    <w:uiPriority w:val="99"/>
    <w:semiHidden/>
    <w:unhideWhenUsed/>
    <w:tblPr/>
  </w:style>
  <w:style w:type="character" w:styleId="957">
    <w:name w:val="Hyperlink 789fba2a8c89dfd6ad40a85fa7ba0eeb"/>
    <w:uiPriority w:val="99"/>
    <w:unhideWhenUsed/>
    <w:rPr>
      <w:color w:val="0000FF" w:themeColor="hyperlink"/>
      <w:u w:val="single"/>
    </w:rPr>
  </w:style>
  <w:style w:type="paragraph" w:styleId="958">
    <w:name w:val="toc 1 789fba2a8c89dfd6ad40a85fa7ba0eeb"/>
    <w:basedOn w:val="967"/>
    <w:uiPriority w:val="39"/>
    <w:unhideWhenUsed/>
    <w:pPr>
      <w:ind w:left="0" w:right="0" w:firstLine="0"/>
      <w:spacing w:after="57"/>
    </w:pPr>
  </w:style>
  <w:style w:type="paragraph" w:styleId="959">
    <w:name w:val="toc 2 789fba2a8c89dfd6ad40a85fa7ba0eeb"/>
    <w:basedOn w:val="967"/>
    <w:uiPriority w:val="39"/>
    <w:unhideWhenUsed/>
    <w:pPr>
      <w:ind w:left="283" w:right="0" w:firstLine="0"/>
      <w:spacing w:after="57"/>
    </w:pPr>
  </w:style>
  <w:style w:type="paragraph" w:styleId="960">
    <w:name w:val="toc 3 789fba2a8c89dfd6ad40a85fa7ba0eeb"/>
    <w:basedOn w:val="967"/>
    <w:uiPriority w:val="39"/>
    <w:unhideWhenUsed/>
    <w:pPr>
      <w:ind w:left="567" w:right="0" w:firstLine="0"/>
      <w:spacing w:after="57"/>
    </w:pPr>
  </w:style>
  <w:style w:type="paragraph" w:styleId="961">
    <w:name w:val="toc 4 789fba2a8c89dfd6ad40a85fa7ba0eeb"/>
    <w:basedOn w:val="967"/>
    <w:uiPriority w:val="39"/>
    <w:unhideWhenUsed/>
    <w:pPr>
      <w:ind w:left="850" w:right="0" w:firstLine="0"/>
      <w:spacing w:after="57"/>
    </w:pPr>
  </w:style>
  <w:style w:type="paragraph" w:styleId="962">
    <w:name w:val="toc 5 789fba2a8c89dfd6ad40a85fa7ba0eeb"/>
    <w:basedOn w:val="967"/>
    <w:uiPriority w:val="39"/>
    <w:unhideWhenUsed/>
    <w:pPr>
      <w:ind w:left="1134" w:right="0" w:firstLine="0"/>
      <w:spacing w:after="57"/>
    </w:pPr>
  </w:style>
  <w:style w:type="paragraph" w:styleId="963">
    <w:name w:val="toc 6 789fba2a8c89dfd6ad40a85fa7ba0eeb"/>
    <w:basedOn w:val="967"/>
    <w:uiPriority w:val="39"/>
    <w:unhideWhenUsed/>
    <w:pPr>
      <w:ind w:left="1417" w:right="0" w:firstLine="0"/>
      <w:spacing w:after="57"/>
    </w:pPr>
  </w:style>
  <w:style w:type="paragraph" w:styleId="964">
    <w:name w:val="toc 7 789fba2a8c89dfd6ad40a85fa7ba0eeb"/>
    <w:basedOn w:val="967"/>
    <w:uiPriority w:val="39"/>
    <w:unhideWhenUsed/>
    <w:pPr>
      <w:ind w:left="1701" w:right="0" w:firstLine="0"/>
      <w:spacing w:after="57"/>
    </w:pPr>
  </w:style>
  <w:style w:type="paragraph" w:styleId="965">
    <w:name w:val="toc 8 789fba2a8c89dfd6ad40a85fa7ba0eeb"/>
    <w:basedOn w:val="967"/>
    <w:uiPriority w:val="39"/>
    <w:unhideWhenUsed/>
    <w:pPr>
      <w:ind w:left="1984" w:right="0" w:firstLine="0"/>
      <w:spacing w:after="57"/>
    </w:pPr>
  </w:style>
  <w:style w:type="paragraph" w:styleId="966">
    <w:name w:val="toc 9 789fba2a8c89dfd6ad40a85fa7ba0eeb"/>
    <w:basedOn w:val="967"/>
    <w:uiPriority w:val="39"/>
    <w:unhideWhenUsed/>
    <w:pPr>
      <w:ind w:left="2268" w:right="0" w:firstLine="0"/>
      <w:spacing w:after="57"/>
    </w:pPr>
  </w:style>
  <w:style w:type="paragraph" w:styleId="967">
    <w:name w:val="Normal 789fba2a8c89dfd6ad40a85fa7ba0eeb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68">
    <w:name w:val="Default Paragraph Font 789fba2a8c89dfd6ad40a85fa7ba0eeb"/>
    <w:uiPriority w:val="1"/>
    <w:semiHidden/>
    <w:unhideWhenUsed/>
  </w:style>
  <w:style w:type="numbering" w:styleId="969">
    <w:name w:val="No List 789fba2a8c89dfd6ad40a85fa7ba0eeb"/>
    <w:uiPriority w:val="99"/>
    <w:semiHidden/>
    <w:unhideWhenUsed/>
  </w:style>
  <w:style w:type="table" w:styleId="970">
    <w:name w:val="Normal Table 789fba2a8c89dfd6ad40a85fa7ba0eeb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it-IT</dc:language>
  <cp:lastModifiedBy>s.burghiani</cp:lastModifiedBy>
  <cp:revision>18</cp:revision>
  <dcterms:created xsi:type="dcterms:W3CDTF">2016-01-21T15:36:37Z</dcterms:created>
  <dcterms:modified xsi:type="dcterms:W3CDTF">2026-10-26T10:41:39Z</dcterms:modified>
</cp:coreProperties>
</file>