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Tahoma" w:hAnsi="Tahoma" w:cs="Tahoma" w:eastAsia="Times New Roman"/>
          <w:lang w:eastAsia="it-IT"/>
        </w:rPr>
      </w:pPr>
      <w:r>
        <w:rPr>
          <w:rFonts w:ascii="Tahoma" w:hAnsi="Tahoma" w:cs="Tahoma" w:eastAsia="Times New Roman"/>
          <w:b/>
          <w:lang w:eastAsia="it-IT"/>
        </w:rPr>
      </w:r>
      <w:r>
        <w:rPr>
          <w:rFonts w:ascii="Tahoma" w:hAnsi="Tahoma" w:cs="Tahoma" w:eastAsia="Times New Roman"/>
          <w:lang w:eastAsia="it-IT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PROPOSTA DI DELIBERAZIONE</w:t>
      </w:r>
      <w:r>
        <w:rPr>
          <w:rFonts w:ascii="Arial" w:hAnsi="Arial" w:cs="Arial" w:eastAsia="Arial"/>
          <w:sz w:val="24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DEL CONSIGLIO COMUNALE</w:t>
      </w:r>
      <w:r>
        <w:rPr>
          <w:rFonts w:ascii="Arial" w:hAnsi="Arial" w:cs="Arial" w:eastAsia="Arial"/>
          <w:sz w:val="24"/>
          <w:highlight w:val="none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sz w:val="24"/>
          <w:highlight w:val="none"/>
        </w:rPr>
      </w:r>
      <w:r>
        <w:rPr>
          <w:rFonts w:ascii="Arial" w:hAnsi="Arial" w:cs="Arial" w:eastAsia="Arial"/>
          <w:sz w:val="24"/>
          <w:highlight w:val="none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highlight w:val="none"/>
          <w:lang w:eastAsia="it-IT"/>
        </w:rPr>
        <w:t xml:space="preserve">n. </w:t>
      </w:r>
      <w:r>
        <w:rPr>
          <w:rFonts w:ascii="Arial" w:hAnsi="Arial" w:cs="Arial" w:eastAsia="Arial"/>
          <w:b/>
          <w:sz w:val="24"/>
          <w:lang w:eastAsia="it-IT"/>
        </w:rPr>
        <w:t xml:space="preserve">1222 del </w:t>
      </w:r>
      <w:r>
        <w:rPr>
          <w:rFonts w:ascii="Arial" w:hAnsi="Arial" w:cs="Arial" w:eastAsia="Arial"/>
          <w:b/>
          <w:sz w:val="24"/>
          <w:lang w:eastAsia="it-IT"/>
        </w:rPr>
        <w:t xml:space="preserve">15/10/2026</w:t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szCs w:val="1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szCs w:val="1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jc w:val="both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OGGETTO:</w:t>
      </w:r>
      <w:r>
        <w:rPr>
          <w:rFonts w:ascii="Arial" w:hAnsi="Arial" w:cs="Arial" w:eastAsia="Arial"/>
          <w:sz w:val="24"/>
        </w:rPr>
      </w:r>
      <w:r/>
    </w:p>
    <w:p>
      <w:pPr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VARIAZIONE AL BILANCIO DI PREVISIONE 2026/2028 E CONSEGUENTE MODIFICA AL DUP 2026/2028, AL PIANO TRIENNALE DEGLI INVESTIMENTI  2026/2028, AL PIANO TRIENNALE DELLE OPERE PUBBLICHE 2026/2028 ED AL PIANO TRIENNALE DEGLI ACQUISTI DI BENI E SERVIZI 2026/2028</w:t>
      </w:r>
      <w:r>
        <w:rPr>
          <w:rFonts w:ascii="Arial" w:hAnsi="Arial" w:cs="Arial" w:eastAsia="Arial"/>
          <w:sz w:val="24"/>
        </w:rPr>
      </w:r>
      <w:r/>
    </w:p>
    <w:p>
      <w:pPr>
        <w:jc w:val="both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  <w:pBdr>
          <w:bottom w:val="single" w:color="000000" w:sz="6" w:space="0"/>
        </w:pBdr>
      </w:pPr>
      <w:r>
        <w:rPr>
          <w:rFonts w:ascii="Arial" w:hAnsi="Arial" w:cs="Arial" w:eastAsia="Arial"/>
          <w:sz w:val="2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pStyle w:val="771"/>
      </w:pPr>
      <w:r/>
      <w:r/>
    </w:p>
    <w:p>
      <w:pPr>
        <w:jc w:val="center"/>
        <w:rPr>
          <w:rFonts w:ascii="Arial" w:hAnsi="Arial" w:cs="Arial" w:eastAsia="Arial"/>
          <w:b/>
          <w:sz w:val="24"/>
          <w:szCs w:val="24"/>
          <w:highlight w:val="none"/>
        </w:rPr>
      </w:pPr>
      <w:r>
        <w:rPr>
          <w:rFonts w:ascii="Arial" w:hAnsi="Arial" w:cs="Arial" w:eastAsia="Arial"/>
          <w:b/>
          <w:sz w:val="24"/>
          <w:highlight w:val="none"/>
        </w:rPr>
      </w:r>
      <w:r>
        <w:rPr>
          <w:rFonts w:ascii="Arial" w:hAnsi="Arial" w:cs="Arial" w:eastAsia="Arial"/>
          <w:b/>
          <w:sz w:val="24"/>
          <w:highlight w:val="none"/>
        </w:rPr>
      </w:r>
      <w:r/>
    </w:p>
    <w:p>
      <w:pPr>
        <w:pStyle w:val="760"/>
        <w:jc w:val="center"/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b/>
          <w:sz w:val="24"/>
        </w:rPr>
        <w:t xml:space="preserve">IL CONSIGLIO COMUNALE</w:t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left"/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center"/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PREMESSO che: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con deliberazione del Consiglio Comunale n. 78 del 29.12.2025, esecutiva ai sensi di legge, è stato approvato il DUP 2026/2028 comprendente il Piano triennale delle opere pubbliche 2026/2028 ed il Piano triennale degli acquisti di beni e servizi 2026/2028;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- con deliberazione del Consiglio Comunale n. 79 del 29.12.2025, esecutiva ai sensi di legge, è stato approvato il Bilancio di Previsione 2026/2028 secondo lo schema di cui al D.Lgs. n. 118/2011;</w:t>
      </w:r>
      <w:r/>
    </w:p>
    <w:p>
      <w:pPr>
        <w:ind w:left="0" w:right="0" w:firstLine="0"/>
        <w:jc w:val="both"/>
        <w:spacing w:before="0" w:after="0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- con deliberazione del Consiglio Comunale  n. 21 del 29/04/2026 esecutiva ai sensi di legge, è stato approvato il conto del bilancio anno 2025;</w:t>
      </w:r>
      <w:r>
        <w:rPr>
          <w:highlight w:val="none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VISTA la necessità di apportare alcune modifiche agli stanziamenti del bilancio di previsione 2026/2028 in base alle richieste pervenute dagli uffici dell’Ente;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DATO ATTO  che le principali variazioni di parte corrente riguardano le seguenti voci: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ENTRATE: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-Fondo assistenza Minori allontanati dalla Famiglia di € 178.879,34 che finanzia il capitolo di uscita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;</w:t>
      </w:r>
      <w:r>
        <w:rPr>
          <w:rFonts w:ascii="Times New Roman" w:hAnsi="Times New Roman" w:cs="Times New Roman" w:eastAsia="Times New Roman"/>
          <w:color w:val="000000"/>
          <w:sz w:val="24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-Contributo regionale per intervento trasporto scolastico studenti disabili scuole secondarie € 95.564,21 che finanzia il capitolo di uscita di pari importo;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-Trasferimento fondo per implementazione dei progetti di vita individuale € 35.997,61 che finanzia il capitolo di uscita di pari importo;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-Fondo per intervento Multileva 3.1 per gli ATS € 517.384,14 che finanzia il capitolo di uscita di pari importo;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-Fondo Regionale  per interventi alla famiglie € 64.039,44 che finanzia il capito di uscita di pari importo;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-Incremento dell’addizionale comunale Irpef € 80.000,00 in riferimento agli incassi ricevuti ad oggi che finanzia le spese correnti;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-Incremento contributo regionale € 14.868,96 che finanzia i corrispettivi del contratto del trasporto pubblico locale ;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Liberation Serif" w:hAnsi="Liberation Serif" w:cs="Liberation Serif" w:eastAsia="Liberation Serif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USCITE:</w:t>
        <w:br/>
        <w:t xml:space="preserve"> </w:t>
      </w:r>
      <w:r>
        <w:rPr>
          <w:rFonts w:ascii="Liberation Serif" w:hAnsi="Liberation Serif" w:cs="Liberation Serif" w:eastAsia="Liberation Serif"/>
          <w:color w:val="000000"/>
          <w:sz w:val="24"/>
        </w:rPr>
        <w:t xml:space="preserve">-Integrazione capitoli del calore anno 2026 € 23.593,24  per conguaglio anno 2025/2026 ed aggiornamento contratto anno 2026/2027 per € 60.678,92;</w:t>
      </w:r>
      <w:r/>
    </w:p>
    <w:p>
      <w:pPr>
        <w:ind w:left="0" w:right="0" w:firstLine="0"/>
        <w:jc w:val="both"/>
        <w:spacing w:before="0" w:after="0"/>
        <w:rPr>
          <w:rFonts w:ascii="Liberation Serif" w:hAnsi="Liberation Serif" w:cs="Liberation Serif" w:eastAsia="Liberation Serif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-Integrazione capitolo della progettazione  per € 30.000,00;</w:t>
      </w:r>
      <w:r/>
    </w:p>
    <w:p>
      <w:pPr>
        <w:ind w:left="0" w:right="0" w:firstLine="0"/>
        <w:jc w:val="both"/>
        <w:spacing w:before="0" w:after="0"/>
        <w:rPr>
          <w:rFonts w:ascii="Liberation Serif" w:hAnsi="Liberation Serif" w:cs="Liberation Serif" w:eastAsia="Liberation Serif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-Integrazione capitolo per spese legali € 25.000,00;</w:t>
      </w:r>
      <w:r/>
    </w:p>
    <w:p>
      <w:pPr>
        <w:ind w:left="0" w:right="0" w:firstLine="0"/>
        <w:jc w:val="both"/>
        <w:spacing w:before="0" w:after="0"/>
        <w:rPr>
          <w:rFonts w:ascii="Liberation Serif" w:hAnsi="Liberation Serif" w:cs="Liberation Serif" w:eastAsia="Liberation Serif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  <w:highlight w:val="none"/>
        </w:rPr>
        <w:t xml:space="preserve">-Integrazione risarcimento danni sinistri € 8.000,00;</w:t>
      </w:r>
      <w:r>
        <w:rPr>
          <w:rFonts w:ascii="Liberation Serif" w:hAnsi="Liberation Serif" w:cs="Liberation Serif" w:eastAsia="Liberation Serif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Liberation Serif" w:hAnsi="Liberation Serif" w:cs="Liberation Serif" w:eastAsia="Liberation Serif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  <w:highlight w:val="none"/>
        </w:rPr>
        <w:t xml:space="preserve">-Spese per organizzazione eventi di natale € </w:t>
      </w:r>
      <w:r>
        <w:rPr>
          <w:rFonts w:ascii="Liberation Serif" w:hAnsi="Liberation Serif" w:cs="Liberation Serif" w:eastAsia="Liberation Serif"/>
          <w:color w:val="000000"/>
          <w:sz w:val="24"/>
          <w:highlight w:val="none"/>
        </w:rPr>
        <w:t xml:space="preserve">65.000,00;</w:t>
      </w:r>
      <w:r/>
    </w:p>
    <w:p>
      <w:pPr>
        <w:ind w:left="0" w:right="0" w:firstLine="0"/>
        <w:jc w:val="both"/>
        <w:spacing w:before="0" w:after="0"/>
        <w:rPr>
          <w:rFonts w:ascii="Liberation Serif" w:hAnsi="Liberation Serif" w:cs="Liberation Serif" w:eastAsia="Liberation Serif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  <w:highlight w:val="none"/>
        </w:rPr>
        <w:t xml:space="preserve">-Adeguamento capitoli relativi al personale;</w:t>
      </w:r>
      <w:r>
        <w:rPr>
          <w:rFonts w:ascii="Liberation Serif" w:hAnsi="Liberation Serif" w:cs="Liberation Serif" w:eastAsia="Liberation Serif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Liberation Serif" w:hAnsi="Liberation Serif" w:cs="Liberation Serif" w:eastAsia="Liberation Serif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-Storni di vari capitoli di spesa;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  <w:highlight w:val="none"/>
        </w:rPr>
      </w:r>
      <w:r>
        <w:rPr>
          <w:rFonts w:ascii="Times New Roman" w:hAnsi="Times New Roman" w:cs="Times New Roman" w:eastAsia="Times New Roman"/>
          <w:color w:val="000000"/>
          <w:sz w:val="24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RITENUTO di apportare le modifiche delle entrate e spese di investimento  così come evidenziate nel piano triennale degli investimenti 2026/2028 del prospetto allegato C);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RITENUTO di apportare le modifiche al Piano triennale dei lavori pubblici 2026/2028 così come da prospetto allegato D) 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DATO ATTO che le variazioni al bilancio di previsione 2026/2028 derivanti da quanto sopra richiamato, risultano specificate nel prospetto allegato A);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RITENUTO di dover modificare Piano triennale degli acquisti 2026/2028, allegato al Dup 2026/2028 approvato con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 delibera di Consiglio Comunale n. 78 del 29/12/2025 ai fini dell’inserimento della concessione per il ripristino stradale a seguito degli incidenti stradali per la durata di cinque anni per l’importo complessivo di € 242.500, come da prospetto allegato E)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57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VISTO il Decreto Legislativo 31 marzo 2023, n. 36 “Codice dei contratti pubblici”, in particolare, l’art. 37 del Decreto Legislativo citato, “Programmazione dei lavori e degli acquisti di beni e servizi” il quale dispone, tra l’altro, che gli Enti pubblici</w:t>
      </w:r>
      <w:r>
        <w:rPr>
          <w:rFonts w:ascii="Liberation Serif" w:hAnsi="Liberation Serif" w:cs="Liberation Serif" w:eastAsia="Liberation Serif"/>
          <w:color w:val="000000"/>
          <w:sz w:val="24"/>
        </w:rPr>
        <w:t xml:space="preserve">, tra cui gli enti locali, sono tenuti a predisporre ed approvare un programma triennale dei lavori corredato di un elenco dei lavori da realizzare nell'anno stesso, da approvarsi nel rispetto dei documenti programmatori e in coerenza con il bilancio, seco</w:t>
      </w:r>
      <w:r>
        <w:rPr>
          <w:rFonts w:ascii="Liberation Serif" w:hAnsi="Liberation Serif" w:cs="Liberation Serif" w:eastAsia="Liberation Serif"/>
          <w:color w:val="000000"/>
          <w:sz w:val="24"/>
        </w:rPr>
        <w:t xml:space="preserve">ndo gli schemi tipo definiti dal Ministero delle Infrastrutture e dei Trasporti; </w:t>
      </w:r>
      <w:r/>
    </w:p>
    <w:p>
      <w:pPr>
        <w:ind w:left="0" w:right="57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57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PRESO ATTO che: </w:t>
      </w:r>
      <w:r/>
    </w:p>
    <w:p>
      <w:pPr>
        <w:numPr>
          <w:ilvl w:val="0"/>
          <w:numId w:val="1"/>
        </w:numPr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le modalità e i contenuti della programmazione dei lavori pubblici sono definiti dall’Allegato I.5 al menzionato Decreto; </w:t>
      </w:r>
      <w:r/>
    </w:p>
    <w:p>
      <w:pPr>
        <w:numPr>
          <w:ilvl w:val="0"/>
          <w:numId w:val="1"/>
        </w:numPr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l’elaborazione del programma viene direttamente effettuata dall’Ufficio preposto con la redazione delle schede previste dall’Allegato I.5; </w:t>
      </w:r>
      <w:r/>
    </w:p>
    <w:p>
      <w:pPr>
        <w:ind w:left="720" w:firstLine="0"/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  <w:highlight w:val="none"/>
        </w:rPr>
      </w:r>
      <w:r/>
    </w:p>
    <w:p>
      <w:pPr>
        <w:ind w:left="0" w:right="57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57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PRESO ATTO ALTRESI’ che:</w:t>
      </w:r>
      <w:r/>
    </w:p>
    <w:p>
      <w:pPr>
        <w:numPr>
          <w:ilvl w:val="0"/>
          <w:numId w:val="2"/>
        </w:numPr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ai sensi di quanto stabilito dall’art. 37 comma 2 del D.Lgs. 36/2023, il programma triennale dei lavori pubblici e i relativi aggiornamenti annuali contengono i lavori il cui importo si stima pari o superiore alla soglia di cui all’art. 50, comma 1, lett. </w:t>
      </w:r>
      <w:r>
        <w:rPr>
          <w:rFonts w:ascii="Liberation Serif" w:hAnsi="Liberation Serif" w:cs="Liberation Serif" w:eastAsia="Liberation Serif"/>
          <w:color w:val="000000"/>
          <w:sz w:val="24"/>
        </w:rPr>
        <w:t xml:space="preserve">a); </w:t>
      </w:r>
      <w:r/>
    </w:p>
    <w:p>
      <w:pPr>
        <w:numPr>
          <w:ilvl w:val="0"/>
          <w:numId w:val="2"/>
        </w:numPr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si ritiene opportuno inserire nel programma triennale e nell’elenco annuale anche tutti gli interventi che si configurano come lavori pubblici la cui spesa d’investimento risulti inferiore, al fine di disporre di un quadro programmatico completo;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DATO ATTO che: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- con il provvedimento proposto, viene assicurato il permanere e l’invarianza degli equilibri di bilancio, nel rispetto del pareggio di bilancio;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- la presente variazione del bilancio di previsione finanziario 2026/2028 riguarda sia la competenza che la cassa;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- tutte le variazioni apportate al bilancio di previsione 2026/2028 costituiscono anche variazione al D.U.P. 2026/2028;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VISTO l’art. 175 del D.Lgs. n. 267/2000 (TUEL) in materia di variazioni di competenza del Consiglio Comunale;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VISTI i pareri favorevoli di regolarità tecnica e contabile ai sensi dell’art. 49 del TUEL, allegati al presente atto, espressi dalla Dirigente del Dipartimento Finanze;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VISTO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il parere favorevole dell’Organo di revisione economico finanziaria n.</w:t>
      </w:r>
      <w:r>
        <w:rPr>
          <w:rFonts w:ascii="Times New Roman" w:hAnsi="Times New Roman" w:cs="Times New Roman" w:eastAsia="Times New Roman"/>
          <w:color w:val="000000"/>
          <w:sz w:val="24"/>
          <w:highlight w:val="yellow"/>
        </w:rPr>
        <w:t xml:space="preserve"> </w:t>
        <w:tab/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del </w:t>
      </w:r>
      <w:r>
        <w:rPr>
          <w:rFonts w:ascii="Times New Roman" w:hAnsi="Times New Roman" w:cs="Times New Roman" w:eastAsia="Times New Roman"/>
          <w:color w:val="000000"/>
          <w:sz w:val="24"/>
          <w:highlight w:val="yellow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highlight w:val="yellow"/>
        </w:rPr>
        <w:t xml:space="preserve"> 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rilasciato ai sensi dell’articolo 239, comma 1, lettera b) n.2 del Decreto Legislativo 18 agosto 20000, n. 267, che si allega al presente atto per farne parte integran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te e sostanziale (allegato D);</w:t>
      </w:r>
      <w:r/>
    </w:p>
    <w:p>
      <w:pPr>
        <w:ind w:left="0" w:right="0" w:firstLine="0"/>
        <w:spacing w:before="0" w:after="0"/>
        <w:tabs>
          <w:tab w:val="left" w:pos="407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/>
        <w:tabs>
          <w:tab w:val="left" w:pos="4073" w:leader="none"/>
        </w:tabs>
        <w:rPr>
          <w:rFonts w:ascii="Times New Roman" w:hAnsi="Times New Roman" w:cs="Times New Roman" w:eastAsia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 la seguente votazione espressa in modalità elettronica: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spacing w:before="0" w:after="0"/>
        <w:tabs>
          <w:tab w:val="left" w:pos="407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ind w:left="0" w:right="0" w:firstLine="0"/>
        <w:spacing w:before="0" w:after="0"/>
        <w:tabs>
          <w:tab w:val="left" w:pos="1134" w:leader="none"/>
        </w:tabs>
        <w:rPr>
          <w:rFonts w:ascii="Times New Roman" w:hAnsi="Times New Roman" w:cs="Times New Roman" w:eastAsia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Presenti</w:t>
        <w:tab/>
      </w:r>
      <w:r/>
    </w:p>
    <w:p>
      <w:pPr>
        <w:ind w:left="0" w:right="0" w:firstLine="0"/>
        <w:spacing w:before="0" w:after="0"/>
        <w:tabs>
          <w:tab w:val="left" w:pos="1134" w:leader="none"/>
        </w:tabs>
        <w:rPr>
          <w:rFonts w:ascii="Times New Roman" w:hAnsi="Times New Roman" w:cs="Times New Roman" w:eastAsia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Votanti</w:t>
        <w:tab/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spacing w:before="0" w:after="0"/>
        <w:tabs>
          <w:tab w:val="left" w:pos="1134" w:leader="none"/>
        </w:tabs>
        <w:rPr>
          <w:rFonts w:ascii="Times New Roman" w:hAnsi="Times New Roman" w:cs="Times New Roman" w:eastAsia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Favorevoli</w:t>
        <w:tab/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spacing w:before="0" w:after="0"/>
        <w:tabs>
          <w:tab w:val="left" w:pos="1134" w:leader="none"/>
        </w:tabs>
        <w:rPr>
          <w:rFonts w:ascii="Times New Roman" w:hAnsi="Times New Roman" w:cs="Times New Roman" w:eastAsia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Astenuti</w:t>
        <w:tab/>
      </w:r>
      <w:r/>
    </w:p>
    <w:p>
      <w:pPr>
        <w:ind w:left="0" w:right="0" w:firstLine="0"/>
        <w:spacing w:before="0" w:after="0"/>
        <w:tabs>
          <w:tab w:val="left" w:pos="407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/>
        <w:tabs>
          <w:tab w:val="left" w:pos="407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 E L I B E R A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1. di apportare al Bilancio di Previsione 2026/2028 ed al DUP 2026/2028 e per le motivazioni di cui in premessa, le variazioni di competenza e di cassa riportate nell’Allegato A) alla presente deliberazione di cui costituisce parte integrante e sostanziale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;</w:t>
      </w:r>
      <w:r/>
    </w:p>
    <w:p>
      <w:pPr>
        <w:ind w:left="720" w:right="0" w:firstLine="0"/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tabs>
          <w:tab w:val="left" w:pos="72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2.di dare atto che con la variazione di cui sopra vengono garantiti: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- il mantenimento degli equilibri generali del Bilancio 2026/2028 (Allegato B);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- il saldo positivo di cassa; 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3. di approvare l’aggiornamento del Piano triennale degli investimenti 2026/2028, di cui all’Allegato C);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4. 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Di approvare la modifica del Piano Triennale dei lavori pubblici 2026/2028, di cui all’allegato D)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4. Di approvare la modifica del Piano Triennale degli acquisti di beni e servizi 2026/2028, di cui all’allegato E)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5. di dare atto che le variazioni apportate al Bilancio di Previsione 2026/2028 costituiscono anche aggiornamento e variazione al DUP 2026/2028.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***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————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DELIBERA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di rendere la presente deliberazione immediatamente eseguibile ai sensi art.134 T.U.E.L. n.267/2000 e ss.mm.ii.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jc w:val="center"/>
      </w:pPr>
      <w:r>
        <w:br w:type="page" w:clear="all"/>
      </w:r>
      <w:r>
        <w:br w:type="page" w:clear="all"/>
      </w:r>
      <w:r>
        <w:rPr>
          <w:rFonts w:ascii="Arial" w:hAnsi="Arial" w:cs="Arial" w:eastAsia="Arial"/>
          <w:b/>
          <w:sz w:val="24"/>
          <w:highlight w:val="none"/>
        </w:rPr>
      </w:r>
      <w:r/>
    </w:p>
    <w:p>
      <w:pPr>
        <w:jc w:val="center"/>
        <w:rPr>
          <w:rFonts w:ascii="Arial" w:hAnsi="Arial" w:cs="Arial" w:eastAsia="Arial"/>
          <w:b/>
          <w:sz w:val="24"/>
          <w:szCs w:val="24"/>
          <w:highlight w:val="none"/>
        </w:rPr>
      </w:pPr>
      <w:r>
        <w:rPr>
          <w:rFonts w:ascii="Arial" w:hAnsi="Arial" w:cs="Arial" w:eastAsia="Arial"/>
          <w:b/>
          <w:sz w:val="24"/>
          <w:highlight w:val="none"/>
        </w:rPr>
      </w:r>
      <w:r>
        <w:rPr>
          <w:rFonts w:ascii="Arial" w:hAnsi="Arial" w:cs="Arial" w:eastAsia="Arial"/>
          <w:b/>
          <w:sz w:val="24"/>
          <w:highlight w:val="none"/>
        </w:rPr>
      </w:r>
      <w:r/>
    </w:p>
    <w:p>
      <w:pPr>
        <w:jc w:val="center"/>
        <w:rPr>
          <w:rFonts w:ascii="Arial" w:hAnsi="Arial" w:cs="Arial" w:eastAsia="Arial"/>
          <w:b/>
          <w:sz w:val="24"/>
          <w:szCs w:val="24"/>
          <w:highlight w:val="none"/>
        </w:rPr>
      </w:pPr>
      <w:r>
        <w:rPr>
          <w:rFonts w:ascii="Arial" w:hAnsi="Arial" w:cs="Arial" w:eastAsia="Arial"/>
          <w:b/>
          <w:sz w:val="24"/>
          <w:highlight w:val="none"/>
        </w:rPr>
      </w:r>
      <w:r>
        <w:rPr>
          <w:rFonts w:ascii="Arial" w:hAnsi="Arial" w:cs="Arial" w:eastAsia="Arial"/>
          <w:b/>
          <w:sz w:val="24"/>
          <w:highlight w:val="none"/>
        </w:rPr>
      </w:r>
      <w:r/>
    </w:p>
    <w:p>
      <w:pPr>
        <w:jc w:val="center"/>
        <w:rPr>
          <w:rFonts w:ascii="Arial" w:hAnsi="Arial" w:cs="Arial" w:eastAsia="Arial"/>
          <w:b/>
          <w:sz w:val="24"/>
          <w:szCs w:val="24"/>
          <w:highlight w:val="none"/>
        </w:rPr>
      </w:pPr>
      <w:r>
        <w:rPr>
          <w:rFonts w:ascii="Arial" w:hAnsi="Arial" w:cs="Arial" w:eastAsia="Arial"/>
          <w:b/>
          <w:sz w:val="24"/>
          <w:highlight w:val="none"/>
        </w:rPr>
      </w:r>
      <w:r>
        <w:rPr>
          <w:rFonts w:ascii="Arial" w:hAnsi="Arial" w:cs="Arial" w:eastAsia="Arial"/>
          <w:b/>
          <w:sz w:val="24"/>
          <w:highlight w:val="none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Wingdings">
    <w:panose1 w:val="05010000000000000000"/>
  </w:font>
  <w:font w:name="Symbol">
    <w:panose1 w:val="05010000000000000000"/>
  </w:font>
  <w:font w:name="Arial">
    <w:panose1 w:val="020B0604020202020204"/>
  </w:font>
  <w:font w:name="SimSun">
    <w:panose1 w:val="02020603020101020101"/>
  </w:font>
  <w:font w:name="Courier New">
    <w:panose1 w:val="02070309020205020404"/>
  </w:font>
  <w:font w:name="Mangal">
    <w:panose1 w:val="02020603050405020304"/>
  </w:font>
  <w:font w:name="Liberation Serif">
    <w:panose1 w:val="020206030504050203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firstLine="0"/>
      <w:jc w:val="center"/>
      <w:spacing w:before="0" w:after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>
      <w:rPr>
        <w:rFonts w:ascii="Arial" w:hAnsi="Arial" w:cs="Arial" w:eastAsia="Arial"/>
        <w:color w:val="000000"/>
        <w:sz w:val="18"/>
        <w:highlight w:val="none"/>
      </w:rPr>
    </w:r>
    <w:r/>
  </w:p>
  <w:p>
    <w:pPr>
      <w:ind w:left="0" w:right="0" w:firstLine="0"/>
      <w:jc w:val="left"/>
      <w:spacing w:before="0" w:after="0"/>
      <w:rPr>
        <w:rFonts w:ascii="Arial" w:hAnsi="Arial" w:cs="Arial" w:eastAsia="Arial"/>
        <w:color w:val="000000"/>
        <w:highlight w:val="none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>
      <w:rPr>
        <w:rFonts w:ascii="Arial" w:hAnsi="Arial" w:cs="Arial" w:eastAsia="Arial"/>
        <w:color w:val="000000"/>
        <w:sz w:val="18"/>
      </w:rPr>
      <w:t xml:space="preserve">Proposta di </w:t>
    </w:r>
    <w:r>
      <w:rPr>
        <w:rFonts w:ascii="Arial" w:hAnsi="Arial" w:cs="Arial" w:eastAsia="Arial"/>
        <w:color w:val="000000"/>
        <w:sz w:val="18"/>
      </w:rPr>
      <w:t xml:space="preserve">Delibera di Consiglio</w:t>
    </w:r>
    <w:r>
      <w:rPr>
        <w:rFonts w:ascii="Arial" w:hAnsi="Arial" w:cs="Arial" w:eastAsia="Arial"/>
        <w:color w:val="000000"/>
        <w:sz w:val="18"/>
      </w:rPr>
      <w:t xml:space="preserve"> n. 1222 del 15/10/2026</w:t>
    </w:r>
    <w:r>
      <w:rPr>
        <w:rFonts w:ascii="Arial" w:hAnsi="Arial" w:cs="Arial" w:eastAsia="Arial"/>
        <w:color w:val="000000"/>
        <w:highlight w:val="none"/>
      </w:rPr>
    </w:r>
    <w:r/>
  </w:p>
  <w:p>
    <w:pPr>
      <w:pStyle w:val="743"/>
      <w:jc w:val="right"/>
      <w:rPr>
        <w:rFonts w:ascii="Arial" w:hAnsi="Arial" w:cs="Arial" w:eastAsia="Arial"/>
        <w:highlight w:val="none"/>
      </w:rPr>
    </w:pPr>
    <w:r>
      <w:rPr>
        <w:rFonts w:ascii="Arial" w:hAnsi="Arial" w:cs="Arial" w:eastAsia="Arial"/>
        <w:sz w:val="18"/>
      </w:rPr>
      <w:t xml:space="preserve">Pag. </w:t>
    </w:r>
    <w:fldSimple w:instr="PAGE \* MERGEFORMAT">
      <w:r>
        <w:rPr>
          <w:rFonts w:ascii="Arial" w:hAnsi="Arial" w:cs="Arial" w:eastAsia="Arial"/>
          <w:sz w:val="18"/>
        </w:rPr>
        <w:t xml:space="preserve">1</w:t>
      </w:r>
    </w:fldSimple>
    <w:r>
      <w:rPr>
        <w:rFonts w:ascii="Arial" w:hAnsi="Arial" w:cs="Arial" w:eastAsia="Arial"/>
        <w:sz w:val="18"/>
      </w:rPr>
    </w:r>
    <w:r>
      <w:rPr>
        <w:rFonts w:ascii="Arial" w:hAnsi="Arial" w:cs="Arial" w:eastAsia="Arial"/>
        <w:highlight w:val="none"/>
      </w:rPr>
    </w:r>
    <w:r/>
  </w:p>
  <w:p>
    <w:r/>
    <w:r/>
  </w:p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1"/>
    </w:pPr>
    <w:r/>
    <w:r/>
  </w:p>
  <w:p>
    <w:r>
      <w:rPr>
        <w:rFonts w:ascii="Times New Roman" w:hAnsi="Times New Roman" w:cs="Times New Roman" w:eastAsia="Times New Roman"/>
        <w:lang w:bidi="ar-SA" w:eastAsia="it-IT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-144145</wp:posOffset>
              </wp:positionV>
              <wp:extent cx="1444625" cy="1776730"/>
              <wp:effectExtent l="0" t="0" r="0" b="0"/>
              <wp:wrapNone/>
              <wp:docPr id="1" name="Immagine 1" descr="logo1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6180020" name="Immagine 1" descr="logo1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1444624" cy="177672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text;margin-left:-17.8pt;mso-position-horizontal:absolute;mso-position-vertical-relative:text;margin-top:-11.3pt;mso-position-vertical:absolute;width:113.8pt;height:139.9pt;rotation:0;" stroked="false">
              <v:path textboxrect="0,0,0,0"/>
              <v:imagedata r:id="rId1" o:title=""/>
            </v:shape>
          </w:pict>
        </mc:Fallback>
      </mc:AlternateContent>
    </w:r>
    <w:r/>
  </w:p>
  <w:p>
    <w:pPr>
      <w:pStyle w:val="785"/>
    </w:pPr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 w:cs="Wingdings" w:eastAsia="Wingdings" w:hint="default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</w:pPr>
      <w:rPr>
        <w:rFonts w:ascii="Wingdings" w:hAnsi="Wingdings" w:cs="Wingdings" w:eastAsia="Wingdings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 w:cs="Wingdings" w:eastAsia="Wingdings" w:hint="default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</w:pPr>
      <w:rPr>
        <w:rFonts w:ascii="Wingdings" w:hAnsi="Wingdings" w:cs="Wingdings" w:eastAsia="Wingdings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 w:cs="Wingdings" w:eastAsia="Wingdings" w:hint="default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</w:pPr>
      <w:rPr>
        <w:rFonts w:ascii="Wingdings" w:hAnsi="Wingdings" w:cs="Wingdings" w:eastAsia="Wingdings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 w:cs="Wingdings" w:eastAsia="Wingdings" w:hint="default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</w:pPr>
      <w:rPr>
        <w:rFonts w:ascii="Wingdings" w:hAnsi="Wingdings" w:cs="Wingdings" w:eastAsia="Wingdings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cs="Arial" w:eastAsia="Aria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cs="Arial" w:eastAsia="Aria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cs="Arial" w:eastAsia="Aria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cs="Arial" w:eastAsia="Aria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hAnsi="Liberation Serif" w:cs="Mangal" w:eastAsia="SimSun" w:hint="default"/>
        <w:sz w:val="24"/>
        <w:szCs w:val="24"/>
        <w:lang w:val="it-IT" w:bidi="hi-IN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">
    <w:name w:val="Normal"/>
    <w:qFormat/>
  </w:style>
  <w:style w:type="character" w:styleId="9">
    <w:name w:val="Default Paragraph Font"/>
    <w:uiPriority w:val="1"/>
    <w:semiHidden/>
    <w:unhideWhenUsed/>
  </w:style>
  <w:style w:type="numbering" w:styleId="10">
    <w:name w:val="No List"/>
    <w:uiPriority w:val="99"/>
    <w:semiHidden/>
    <w:unhideWhenUsed/>
  </w:style>
  <w:style w:type="paragraph" w:styleId="11">
    <w:name w:val="Heading 1"/>
    <w:basedOn w:val="8"/>
    <w:next w:val="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8"/>
    <w:next w:val="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8"/>
    <w:next w:val="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8"/>
    <w:next w:val="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8"/>
    <w:next w:val="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8"/>
    <w:next w:val="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8"/>
    <w:next w:val="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8"/>
    <w:next w:val="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8"/>
    <w:next w:val="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8"/>
    <w:uiPriority w:val="34"/>
    <w:qFormat/>
    <w:pPr>
      <w:contextualSpacing/>
      <w:ind w:left="720"/>
    </w:pPr>
  </w:style>
  <w:style w:type="table" w:styleId="30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8"/>
    <w:next w:val="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8"/>
    <w:next w:val="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8"/>
    <w:next w:val="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8"/>
    <w:next w:val="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8"/>
    <w:next w:val="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8"/>
    <w:next w:val="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8"/>
    <w:next w:val="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8"/>
    <w:next w:val="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8"/>
    <w:next w:val="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8"/>
    <w:next w:val="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8"/>
    <w:next w:val="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8"/>
    <w:next w:val="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8"/>
    <w:next w:val="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8"/>
    <w:next w:val="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8"/>
    <w:next w:val="8"/>
    <w:uiPriority w:val="99"/>
    <w:unhideWhenUsed/>
    <w:pPr>
      <w:spacing w:after="0" w:afterAutospacing="0"/>
    </w:pPr>
  </w:style>
  <w:style w:type="paragraph" w:styleId="741">
    <w:name w:val="Header 7ca7cba0aa4da12642e780a2bf05d801"/>
    <w:basedOn w:val="756"/>
    <w:link w:val="7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2">
    <w:name w:val="Header Char 7ca7cba0aa4da12642e780a2bf05d801"/>
    <w:link w:val="741"/>
    <w:uiPriority w:val="99"/>
  </w:style>
  <w:style w:type="paragraph" w:styleId="743">
    <w:name w:val="Footer 7ca7cba0aa4da12642e780a2bf05d801"/>
    <w:basedOn w:val="756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4">
    <w:name w:val="Footer Char 7ca7cba0aa4da12642e780a2bf05d801"/>
    <w:link w:val="743"/>
    <w:uiPriority w:val="99"/>
  </w:style>
  <w:style w:type="character" w:styleId="745">
    <w:name w:val="Caption Char 7ca7cba0aa4da12642e780a2bf05d801"/>
    <w:link w:val="743"/>
    <w:uiPriority w:val="99"/>
  </w:style>
  <w:style w:type="character" w:styleId="746">
    <w:name w:val="Hyperlink 7ca7cba0aa4da12642e780a2bf05d801"/>
    <w:uiPriority w:val="99"/>
    <w:unhideWhenUsed/>
    <w:rPr>
      <w:color w:val="0000FF" w:themeColor="hyperlink"/>
      <w:u w:val="single"/>
    </w:rPr>
  </w:style>
  <w:style w:type="paragraph" w:styleId="747">
    <w:name w:val="toc 1 7ca7cba0aa4da12642e780a2bf05d801"/>
    <w:basedOn w:val="756"/>
    <w:uiPriority w:val="39"/>
    <w:unhideWhenUsed/>
    <w:pPr>
      <w:ind w:left="0" w:right="0" w:firstLine="0"/>
      <w:spacing w:after="57"/>
    </w:pPr>
  </w:style>
  <w:style w:type="paragraph" w:styleId="748">
    <w:name w:val="toc 2 7ca7cba0aa4da12642e780a2bf05d801"/>
    <w:basedOn w:val="756"/>
    <w:uiPriority w:val="39"/>
    <w:unhideWhenUsed/>
    <w:pPr>
      <w:ind w:left="283" w:right="0" w:firstLine="0"/>
      <w:spacing w:after="57"/>
    </w:pPr>
  </w:style>
  <w:style w:type="paragraph" w:styleId="749">
    <w:name w:val="toc 3 7ca7cba0aa4da12642e780a2bf05d801"/>
    <w:basedOn w:val="756"/>
    <w:uiPriority w:val="39"/>
    <w:unhideWhenUsed/>
    <w:pPr>
      <w:ind w:left="567" w:right="0" w:firstLine="0"/>
      <w:spacing w:after="57"/>
    </w:pPr>
  </w:style>
  <w:style w:type="paragraph" w:styleId="750">
    <w:name w:val="toc 4 7ca7cba0aa4da12642e780a2bf05d801"/>
    <w:basedOn w:val="756"/>
    <w:uiPriority w:val="39"/>
    <w:unhideWhenUsed/>
    <w:pPr>
      <w:ind w:left="850" w:right="0" w:firstLine="0"/>
      <w:spacing w:after="57"/>
    </w:pPr>
  </w:style>
  <w:style w:type="paragraph" w:styleId="751">
    <w:name w:val="toc 5 7ca7cba0aa4da12642e780a2bf05d801"/>
    <w:basedOn w:val="756"/>
    <w:uiPriority w:val="39"/>
    <w:unhideWhenUsed/>
    <w:pPr>
      <w:ind w:left="1134" w:right="0" w:firstLine="0"/>
      <w:spacing w:after="57"/>
    </w:pPr>
  </w:style>
  <w:style w:type="paragraph" w:styleId="752">
    <w:name w:val="toc 6 7ca7cba0aa4da12642e780a2bf05d801"/>
    <w:basedOn w:val="756"/>
    <w:uiPriority w:val="39"/>
    <w:unhideWhenUsed/>
    <w:pPr>
      <w:ind w:left="1417" w:right="0" w:firstLine="0"/>
      <w:spacing w:after="57"/>
    </w:pPr>
  </w:style>
  <w:style w:type="paragraph" w:styleId="753">
    <w:name w:val="toc 7 7ca7cba0aa4da12642e780a2bf05d801"/>
    <w:basedOn w:val="756"/>
    <w:uiPriority w:val="39"/>
    <w:unhideWhenUsed/>
    <w:pPr>
      <w:ind w:left="1701" w:right="0" w:firstLine="0"/>
      <w:spacing w:after="57"/>
    </w:pPr>
  </w:style>
  <w:style w:type="paragraph" w:styleId="754">
    <w:name w:val="toc 8 7ca7cba0aa4da12642e780a2bf05d801"/>
    <w:basedOn w:val="756"/>
    <w:uiPriority w:val="39"/>
    <w:unhideWhenUsed/>
    <w:pPr>
      <w:ind w:left="1984" w:right="0" w:firstLine="0"/>
      <w:spacing w:after="57"/>
    </w:pPr>
  </w:style>
  <w:style w:type="paragraph" w:styleId="755">
    <w:name w:val="toc 9 7ca7cba0aa4da12642e780a2bf05d801"/>
    <w:basedOn w:val="756"/>
    <w:uiPriority w:val="39"/>
    <w:unhideWhenUsed/>
    <w:pPr>
      <w:ind w:left="2268" w:right="0" w:firstLine="0"/>
      <w:spacing w:after="57"/>
    </w:pPr>
  </w:style>
  <w:style w:type="paragraph" w:styleId="756" w:default="1">
    <w:name w:val="Normal 7ca7cba0aa4da12642e780a2bf05d801"/>
    <w:qFormat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757" w:default="1">
    <w:name w:val="Default Paragraph Font 7ca7cba0aa4da12642e780a2bf05d801"/>
    <w:uiPriority w:val="1"/>
    <w:semiHidden/>
    <w:unhideWhenUsed/>
  </w:style>
  <w:style w:type="numbering" w:styleId="758" w:default="1">
    <w:name w:val="No List 7ca7cba0aa4da12642e780a2bf05d801"/>
    <w:uiPriority w:val="99"/>
    <w:semiHidden/>
    <w:unhideWhenUsed/>
  </w:style>
  <w:style w:type="table" w:styleId="759" w:default="1">
    <w:name w:val="Normal Table 7ca7cba0aa4da12642e780a2bf05d801"/>
    <w:uiPriority w:val="99"/>
    <w:semiHidden/>
    <w:unhideWhenUsed/>
    <w:tblPr/>
  </w:style>
  <w:style w:type="paragraph" w:styleId="760">
    <w:name w:val="Normal 3f9513dc0ec7869f535fbb9044c3be33 7ca7cba0aa4da12642e780a2bf05d80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cs="Mangal" w:eastAsia="SimSun"/>
      <w:b w:val="0"/>
      <w:bCs w:val="0"/>
      <w:i w:val="0"/>
      <w:iCs w:val="0"/>
      <w:caps w:val="0"/>
      <w:smallCaps w:val="0"/>
      <w:strike w:val="false"/>
      <w:vanish w:val="false"/>
      <w:color w:val="auto"/>
      <w:spacing w:val="0"/>
      <w:position w:val="0"/>
      <w:sz w:val="24"/>
      <w:szCs w:val="24"/>
      <w:highlight w:val="none"/>
      <w:u w:val="none"/>
      <w:vertAlign w:val="baseline"/>
      <w:rtl w:val="false"/>
      <w:cs w:val="false"/>
      <w:lang w:val="it-IT" w:bidi="hi-IN" w:eastAsia="zh-CN"/>
    </w:rPr>
  </w:style>
  <w:style w:type="character" w:styleId="761">
    <w:name w:val="Hyperlink 5b48ded884255487dd06f60e47d9a169"/>
    <w:uiPriority w:val="99"/>
    <w:unhideWhenUsed/>
    <w:rPr>
      <w:color w:val="0000FF" w:themeColor="hyperlink"/>
      <w:u w:val="single"/>
    </w:rPr>
  </w:style>
  <w:style w:type="paragraph" w:styleId="762">
    <w:name w:val="toc 1 5b48ded884255487dd06f60e47d9a169"/>
    <w:basedOn w:val="771"/>
    <w:uiPriority w:val="39"/>
    <w:unhideWhenUsed/>
    <w:pPr>
      <w:ind w:left="0" w:right="0" w:firstLine="0"/>
      <w:spacing w:after="57"/>
    </w:pPr>
  </w:style>
  <w:style w:type="paragraph" w:styleId="763">
    <w:name w:val="toc 2 5b48ded884255487dd06f60e47d9a169"/>
    <w:basedOn w:val="771"/>
    <w:uiPriority w:val="39"/>
    <w:unhideWhenUsed/>
    <w:pPr>
      <w:ind w:left="283" w:right="0" w:firstLine="0"/>
      <w:spacing w:after="57"/>
    </w:pPr>
  </w:style>
  <w:style w:type="paragraph" w:styleId="764">
    <w:name w:val="toc 3 5b48ded884255487dd06f60e47d9a169"/>
    <w:basedOn w:val="771"/>
    <w:uiPriority w:val="39"/>
    <w:unhideWhenUsed/>
    <w:pPr>
      <w:ind w:left="567" w:right="0" w:firstLine="0"/>
      <w:spacing w:after="57"/>
    </w:pPr>
  </w:style>
  <w:style w:type="paragraph" w:styleId="765">
    <w:name w:val="toc 4 5b48ded884255487dd06f60e47d9a169"/>
    <w:basedOn w:val="771"/>
    <w:uiPriority w:val="39"/>
    <w:unhideWhenUsed/>
    <w:pPr>
      <w:ind w:left="850" w:right="0" w:firstLine="0"/>
      <w:spacing w:after="57"/>
    </w:pPr>
  </w:style>
  <w:style w:type="paragraph" w:styleId="766">
    <w:name w:val="toc 5 5b48ded884255487dd06f60e47d9a169"/>
    <w:basedOn w:val="771"/>
    <w:uiPriority w:val="39"/>
    <w:unhideWhenUsed/>
    <w:pPr>
      <w:ind w:left="1134" w:right="0" w:firstLine="0"/>
      <w:spacing w:after="57"/>
    </w:pPr>
  </w:style>
  <w:style w:type="paragraph" w:styleId="767">
    <w:name w:val="toc 6 5b48ded884255487dd06f60e47d9a169"/>
    <w:basedOn w:val="771"/>
    <w:uiPriority w:val="39"/>
    <w:unhideWhenUsed/>
    <w:pPr>
      <w:ind w:left="1417" w:right="0" w:firstLine="0"/>
      <w:spacing w:after="57"/>
    </w:pPr>
  </w:style>
  <w:style w:type="paragraph" w:styleId="768">
    <w:name w:val="toc 7 5b48ded884255487dd06f60e47d9a169"/>
    <w:basedOn w:val="771"/>
    <w:uiPriority w:val="39"/>
    <w:unhideWhenUsed/>
    <w:pPr>
      <w:ind w:left="1701" w:right="0" w:firstLine="0"/>
      <w:spacing w:after="57"/>
    </w:pPr>
  </w:style>
  <w:style w:type="paragraph" w:styleId="769">
    <w:name w:val="toc 8 5b48ded884255487dd06f60e47d9a169"/>
    <w:basedOn w:val="771"/>
    <w:uiPriority w:val="39"/>
    <w:unhideWhenUsed/>
    <w:pPr>
      <w:ind w:left="1984" w:right="0" w:firstLine="0"/>
      <w:spacing w:after="57"/>
    </w:pPr>
  </w:style>
  <w:style w:type="paragraph" w:styleId="770">
    <w:name w:val="toc 9 5b48ded884255487dd06f60e47d9a169"/>
    <w:basedOn w:val="771"/>
    <w:uiPriority w:val="39"/>
    <w:unhideWhenUsed/>
    <w:pPr>
      <w:ind w:left="2268" w:right="0" w:firstLine="0"/>
      <w:spacing w:after="57"/>
    </w:pPr>
  </w:style>
  <w:style w:type="paragraph" w:styleId="771">
    <w:name w:val="Normal 5b48ded884255487dd06f60e47d9a169"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772">
    <w:name w:val="Default Paragraph Font 5b48ded884255487dd06f60e47d9a169"/>
    <w:uiPriority w:val="1"/>
    <w:semiHidden/>
    <w:unhideWhenUsed/>
  </w:style>
  <w:style w:type="numbering" w:styleId="773">
    <w:name w:val="No List 5b48ded884255487dd06f60e47d9a169"/>
    <w:uiPriority w:val="99"/>
    <w:semiHidden/>
    <w:unhideWhenUsed/>
  </w:style>
  <w:style w:type="table" w:styleId="774">
    <w:name w:val="Normal Table 5b48ded884255487dd06f60e47d9a169"/>
    <w:uiPriority w:val="99"/>
    <w:semiHidden/>
    <w:unhideWhenUsed/>
    <w:tblPr/>
  </w:style>
  <w:style w:type="character" w:styleId="775">
    <w:name w:val="Hyperlink 6551b4a95a0db901ea51a49f32e080a8"/>
    <w:uiPriority w:val="99"/>
    <w:unhideWhenUsed/>
    <w:rPr>
      <w:color w:val="0000FF" w:themeColor="hyperlink"/>
      <w:u w:val="single"/>
    </w:rPr>
  </w:style>
  <w:style w:type="paragraph" w:styleId="776">
    <w:name w:val="toc 1 6551b4a95a0db901ea51a49f32e080a8"/>
    <w:basedOn w:val="785"/>
    <w:uiPriority w:val="39"/>
    <w:unhideWhenUsed/>
    <w:pPr>
      <w:ind w:left="0" w:right="0" w:firstLine="0"/>
      <w:spacing w:after="57"/>
    </w:pPr>
  </w:style>
  <w:style w:type="paragraph" w:styleId="777">
    <w:name w:val="toc 2 6551b4a95a0db901ea51a49f32e080a8"/>
    <w:basedOn w:val="785"/>
    <w:uiPriority w:val="39"/>
    <w:unhideWhenUsed/>
    <w:pPr>
      <w:ind w:left="283" w:right="0" w:firstLine="0"/>
      <w:spacing w:after="57"/>
    </w:pPr>
  </w:style>
  <w:style w:type="paragraph" w:styleId="778">
    <w:name w:val="toc 3 6551b4a95a0db901ea51a49f32e080a8"/>
    <w:basedOn w:val="785"/>
    <w:uiPriority w:val="39"/>
    <w:unhideWhenUsed/>
    <w:pPr>
      <w:ind w:left="567" w:right="0" w:firstLine="0"/>
      <w:spacing w:after="57"/>
    </w:pPr>
  </w:style>
  <w:style w:type="paragraph" w:styleId="779">
    <w:name w:val="toc 4 6551b4a95a0db901ea51a49f32e080a8"/>
    <w:basedOn w:val="785"/>
    <w:uiPriority w:val="39"/>
    <w:unhideWhenUsed/>
    <w:pPr>
      <w:ind w:left="850" w:right="0" w:firstLine="0"/>
      <w:spacing w:after="57"/>
    </w:pPr>
  </w:style>
  <w:style w:type="paragraph" w:styleId="780">
    <w:name w:val="toc 5 6551b4a95a0db901ea51a49f32e080a8"/>
    <w:basedOn w:val="785"/>
    <w:uiPriority w:val="39"/>
    <w:unhideWhenUsed/>
    <w:pPr>
      <w:ind w:left="1134" w:right="0" w:firstLine="0"/>
      <w:spacing w:after="57"/>
    </w:pPr>
  </w:style>
  <w:style w:type="paragraph" w:styleId="781">
    <w:name w:val="toc 6 6551b4a95a0db901ea51a49f32e080a8"/>
    <w:basedOn w:val="785"/>
    <w:uiPriority w:val="39"/>
    <w:unhideWhenUsed/>
    <w:pPr>
      <w:ind w:left="1417" w:right="0" w:firstLine="0"/>
      <w:spacing w:after="57"/>
    </w:pPr>
  </w:style>
  <w:style w:type="paragraph" w:styleId="782">
    <w:name w:val="toc 7 6551b4a95a0db901ea51a49f32e080a8"/>
    <w:basedOn w:val="785"/>
    <w:uiPriority w:val="39"/>
    <w:unhideWhenUsed/>
    <w:pPr>
      <w:ind w:left="1701" w:right="0" w:firstLine="0"/>
      <w:spacing w:after="57"/>
    </w:pPr>
  </w:style>
  <w:style w:type="paragraph" w:styleId="783">
    <w:name w:val="toc 8 6551b4a95a0db901ea51a49f32e080a8"/>
    <w:basedOn w:val="785"/>
    <w:uiPriority w:val="39"/>
    <w:unhideWhenUsed/>
    <w:pPr>
      <w:ind w:left="1984" w:right="0" w:firstLine="0"/>
      <w:spacing w:after="57"/>
    </w:pPr>
  </w:style>
  <w:style w:type="paragraph" w:styleId="784">
    <w:name w:val="toc 9 6551b4a95a0db901ea51a49f32e080a8"/>
    <w:basedOn w:val="785"/>
    <w:uiPriority w:val="39"/>
    <w:unhideWhenUsed/>
    <w:pPr>
      <w:ind w:left="2268" w:right="0" w:firstLine="0"/>
      <w:spacing w:after="57"/>
    </w:pPr>
  </w:style>
  <w:style w:type="paragraph" w:styleId="785">
    <w:name w:val="Normal 6551b4a95a0db901ea51a49f32e080a8"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786">
    <w:name w:val="Default Paragraph Font 6551b4a95a0db901ea51a49f32e080a8"/>
    <w:uiPriority w:val="1"/>
    <w:semiHidden/>
    <w:unhideWhenUsed/>
  </w:style>
  <w:style w:type="numbering" w:styleId="787">
    <w:name w:val="No List 6551b4a95a0db901ea51a49f32e080a8"/>
    <w:uiPriority w:val="99"/>
    <w:semiHidden/>
    <w:unhideWhenUsed/>
  </w:style>
  <w:style w:type="table" w:styleId="788">
    <w:name w:val="Normal Table 6551b4a95a0db901ea51a49f32e080a8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ONLYOFFICE/7.1.1.23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language>it-IT</dc:language>
  <cp:lastModifiedBy>s.burghiani</cp:lastModifiedBy>
  <cp:revision>24</cp:revision>
  <dcterms:created xsi:type="dcterms:W3CDTF">2016-01-21T15:36:37Z</dcterms:created>
  <dcterms:modified xsi:type="dcterms:W3CDTF">2026-10-19T09:39:45Z</dcterms:modified>
</cp:coreProperties>
</file>