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tabs>
          <w:tab w:val="left" w:pos="708" w:leader="none"/>
          <w:tab w:val="center" w:pos="4819" w:leader="none"/>
          <w:tab w:val="right" w:pos="9638" w:leader="none"/>
        </w:tabs>
        <w:rPr>
          <w:rFonts w:ascii="Tahoma" w:hAnsi="Tahoma" w:cs="Tahoma" w:eastAsia="Times New Roman"/>
          <w:lang w:eastAsia="it-IT"/>
        </w:rPr>
      </w:pPr>
      <w:r>
        <w:rPr>
          <w:rFonts w:ascii="Tahoma" w:hAnsi="Tahoma" w:cs="Tahoma" w:eastAsia="Times New Roman"/>
          <w:b/>
          <w:lang w:eastAsia="it-IT"/>
        </w:rPr>
      </w:r>
      <w:r>
        <w:rPr>
          <w:rFonts w:ascii="Tahoma" w:hAnsi="Tahoma" w:cs="Tahoma" w:eastAsia="Times New Roman"/>
          <w:lang w:eastAsia="it-IT"/>
        </w:rPr>
      </w:r>
      <w:r/>
    </w:p>
    <w:p>
      <w:pPr>
        <w:jc w:val="center"/>
        <w:tabs>
          <w:tab w:val="left" w:pos="708" w:leader="none"/>
          <w:tab w:val="center" w:pos="4819" w:leader="none"/>
          <w:tab w:val="right" w:pos="9638" w:leader="none"/>
        </w:tabs>
        <w:rPr>
          <w:rFonts w:ascii="Arial" w:hAnsi="Arial" w:cs="Arial" w:eastAsia="Arial"/>
        </w:rPr>
      </w:pPr>
      <w:r>
        <w:rPr>
          <w:rFonts w:ascii="Arial" w:hAnsi="Arial" w:cs="Arial" w:eastAsia="Arial"/>
          <w:b/>
          <w:sz w:val="24"/>
          <w:lang w:eastAsia="it-IT"/>
        </w:rPr>
        <w:t xml:space="preserve">PROPOSTA DI DELIBERAZIONE</w:t>
      </w:r>
      <w:r>
        <w:rPr>
          <w:rFonts w:ascii="Arial" w:hAnsi="Arial" w:cs="Arial" w:eastAsia="Arial"/>
          <w:sz w:val="24"/>
        </w:rPr>
      </w:r>
      <w:r/>
    </w:p>
    <w:p>
      <w:pPr>
        <w:jc w:val="center"/>
        <w:tabs>
          <w:tab w:val="left" w:pos="708" w:leader="none"/>
          <w:tab w:val="center" w:pos="4819" w:leader="none"/>
          <w:tab w:val="right" w:pos="9638" w:leader="none"/>
        </w:tabs>
        <w:rPr>
          <w:rFonts w:ascii="Arial" w:hAnsi="Arial" w:cs="Arial" w:eastAsia="Arial"/>
          <w:highlight w:val="none"/>
        </w:rPr>
      </w:pPr>
      <w:r>
        <w:rPr>
          <w:rFonts w:ascii="Arial" w:hAnsi="Arial" w:cs="Arial" w:eastAsia="Arial"/>
          <w:b/>
          <w:sz w:val="24"/>
          <w:lang w:eastAsia="it-IT"/>
        </w:rPr>
        <w:t xml:space="preserve">DEL CONSIGLIO COMUNALE</w:t>
      </w:r>
      <w:r>
        <w:rPr>
          <w:rFonts w:ascii="Arial" w:hAnsi="Arial" w:cs="Arial" w:eastAsia="Arial"/>
          <w:sz w:val="24"/>
          <w:highlight w:val="none"/>
        </w:rPr>
      </w:r>
      <w:r/>
    </w:p>
    <w:p>
      <w:pPr>
        <w:jc w:val="center"/>
        <w:tabs>
          <w:tab w:val="left" w:pos="708" w:leader="none"/>
          <w:tab w:val="center" w:pos="4819" w:leader="none"/>
          <w:tab w:val="right" w:pos="9638" w:leader="none"/>
        </w:tabs>
        <w:rPr>
          <w:rFonts w:ascii="Arial" w:hAnsi="Arial" w:cs="Arial" w:eastAsia="Arial"/>
          <w:highlight w:val="none"/>
        </w:rPr>
      </w:pPr>
      <w:r>
        <w:rPr>
          <w:rFonts w:ascii="Arial" w:hAnsi="Arial" w:cs="Arial" w:eastAsia="Arial"/>
          <w:sz w:val="24"/>
          <w:highlight w:val="none"/>
        </w:rPr>
      </w:r>
      <w:r>
        <w:rPr>
          <w:rFonts w:ascii="Arial" w:hAnsi="Arial" w:cs="Arial" w:eastAsia="Arial"/>
          <w:sz w:val="24"/>
          <w:highlight w:val="none"/>
        </w:rPr>
      </w:r>
      <w:r/>
    </w:p>
    <w:p>
      <w:pPr>
        <w:jc w:val="center"/>
        <w:tabs>
          <w:tab w:val="left" w:pos="708" w:leader="none"/>
          <w:tab w:val="center" w:pos="4819" w:leader="none"/>
          <w:tab w:val="right" w:pos="9638" w:leader="none"/>
        </w:tabs>
        <w:rPr>
          <w:rFonts w:ascii="Arial" w:hAnsi="Arial" w:cs="Arial" w:eastAsia="Arial"/>
        </w:rPr>
      </w:pPr>
      <w:r>
        <w:rPr>
          <w:rFonts w:ascii="Arial" w:hAnsi="Arial" w:cs="Arial" w:eastAsia="Arial"/>
          <w:b/>
          <w:sz w:val="24"/>
          <w:highlight w:val="none"/>
          <w:lang w:eastAsia="it-IT"/>
        </w:rPr>
        <w:t xml:space="preserve">n. </w:t>
      </w:r>
      <w:r>
        <w:rPr>
          <w:rFonts w:ascii="Arial" w:hAnsi="Arial" w:cs="Arial" w:eastAsia="Arial"/>
          <w:b/>
          <w:sz w:val="24"/>
          <w:lang w:eastAsia="it-IT"/>
        </w:rPr>
        <w:t xml:space="preserve">862 del </w:t>
      </w:r>
      <w:r>
        <w:rPr>
          <w:rFonts w:ascii="Arial" w:hAnsi="Arial" w:cs="Arial" w:eastAsia="Arial"/>
          <w:b/>
          <w:sz w:val="24"/>
          <w:lang w:eastAsia="it-IT"/>
        </w:rPr>
        <w:t xml:space="preserve">21/07/2026</w:t>
      </w:r>
      <w:r>
        <w:rPr>
          <w:rFonts w:ascii="Arial" w:hAnsi="Arial" w:cs="Arial" w:eastAsia="Arial"/>
          <w:sz w:val="24"/>
        </w:rPr>
      </w:r>
      <w:r/>
    </w:p>
    <w:p>
      <w:pPr>
        <w:tabs>
          <w:tab w:val="left" w:pos="708" w:leader="none"/>
          <w:tab w:val="center" w:pos="4819" w:leader="none"/>
          <w:tab w:val="right" w:pos="9638" w:leader="none"/>
        </w:tabs>
        <w:rPr>
          <w:rFonts w:ascii="Arial" w:hAnsi="Arial" w:cs="Arial" w:eastAsia="Arial"/>
        </w:rPr>
      </w:pPr>
      <w:r>
        <w:rPr>
          <w:rFonts w:ascii="Arial" w:hAnsi="Arial" w:cs="Arial" w:eastAsia="Arial"/>
          <w:sz w:val="24"/>
          <w:szCs w:val="14"/>
          <w:lang w:eastAsia="it-IT"/>
        </w:rPr>
      </w:r>
      <w:r>
        <w:rPr>
          <w:rFonts w:ascii="Arial" w:hAnsi="Arial" w:cs="Arial" w:eastAsia="Arial"/>
          <w:sz w:val="24"/>
        </w:rPr>
      </w:r>
      <w:r/>
    </w:p>
    <w:p>
      <w:pPr>
        <w:tabs>
          <w:tab w:val="left" w:pos="708" w:leader="none"/>
          <w:tab w:val="center" w:pos="4819" w:leader="none"/>
          <w:tab w:val="right" w:pos="9638" w:leader="none"/>
        </w:tabs>
        <w:rPr>
          <w:rFonts w:ascii="Arial" w:hAnsi="Arial" w:cs="Arial" w:eastAsia="Arial"/>
        </w:rPr>
      </w:pPr>
      <w:r>
        <w:rPr>
          <w:rFonts w:ascii="Arial" w:hAnsi="Arial" w:cs="Arial" w:eastAsia="Arial"/>
          <w:sz w:val="24"/>
          <w:szCs w:val="14"/>
          <w:lang w:eastAsia="it-IT"/>
        </w:rPr>
      </w:r>
      <w:r>
        <w:rPr>
          <w:rFonts w:ascii="Arial" w:hAnsi="Arial" w:cs="Arial" w:eastAsia="Arial"/>
          <w:sz w:val="24"/>
        </w:rPr>
      </w:r>
      <w:r/>
    </w:p>
    <w:p>
      <w:pPr>
        <w:jc w:val="both"/>
        <w:tabs>
          <w:tab w:val="left" w:pos="708" w:leader="none"/>
          <w:tab w:val="center" w:pos="4819" w:leader="none"/>
          <w:tab w:val="right" w:pos="9638" w:leader="none"/>
        </w:tabs>
        <w:rPr>
          <w:rFonts w:ascii="Arial" w:hAnsi="Arial" w:cs="Arial" w:eastAsia="Arial"/>
        </w:rPr>
      </w:pPr>
      <w:r>
        <w:rPr>
          <w:rFonts w:ascii="Arial" w:hAnsi="Arial" w:cs="Arial" w:eastAsia="Arial"/>
          <w:b/>
          <w:sz w:val="24"/>
          <w:lang w:eastAsia="it-IT"/>
        </w:rPr>
        <w:t xml:space="preserve">OGGETTO:</w:t>
      </w:r>
      <w:r>
        <w:rPr>
          <w:rFonts w:ascii="Arial" w:hAnsi="Arial" w:cs="Arial" w:eastAsia="Arial"/>
          <w:sz w:val="24"/>
        </w:rPr>
      </w:r>
      <w:r/>
    </w:p>
    <w:p>
      <w:pPr>
        <w:rPr>
          <w:rFonts w:ascii="Arial" w:hAnsi="Arial" w:cs="Arial" w:eastAsia="Arial"/>
        </w:rPr>
      </w:pPr>
      <w:r>
        <w:rPr>
          <w:rFonts w:ascii="Arial" w:hAnsi="Arial" w:cs="Arial" w:eastAsia="Arial"/>
          <w:b/>
          <w:sz w:val="24"/>
          <w:lang w:eastAsia="it-IT"/>
        </w:rPr>
        <w:t xml:space="preserve">TARI 2026: PRESA D'ATTO ADOZIONE PEF TARI PER  IL PERIODO REGOLATORIO 2026-2029, APPROVAZIONE TARIFFE E RIDUZIONI. </w:t>
      </w:r>
      <w:r>
        <w:rPr>
          <w:rFonts w:ascii="Arial" w:hAnsi="Arial" w:cs="Arial" w:eastAsia="Arial"/>
          <w:sz w:val="24"/>
        </w:rPr>
      </w:r>
      <w:r/>
    </w:p>
    <w:p>
      <w:pPr>
        <w:jc w:val="both"/>
        <w:tabs>
          <w:tab w:val="left" w:pos="708" w:leader="none"/>
          <w:tab w:val="center" w:pos="4819" w:leader="none"/>
          <w:tab w:val="right" w:pos="9638" w:leader="none"/>
        </w:tabs>
        <w:rPr>
          <w:rFonts w:ascii="Arial" w:hAnsi="Arial" w:cs="Arial" w:eastAsia="Arial"/>
        </w:rPr>
        <w:pBdr>
          <w:bottom w:val="single" w:color="000000" w:sz="6" w:space="0"/>
        </w:pBdr>
      </w:pPr>
      <w:r>
        <w:rPr>
          <w:rFonts w:ascii="Arial" w:hAnsi="Arial" w:cs="Arial" w:eastAsia="Arial"/>
          <w:sz w:val="24"/>
          <w:lang w:eastAsia="it-IT"/>
        </w:rPr>
      </w:r>
      <w:r>
        <w:rPr>
          <w:rFonts w:ascii="Arial" w:hAnsi="Arial" w:cs="Arial" w:eastAsia="Arial"/>
          <w:sz w:val="24"/>
        </w:rPr>
      </w:r>
      <w:r/>
    </w:p>
    <w:p>
      <w:pPr>
        <w:tabs>
          <w:tab w:val="left" w:pos="708" w:leader="none"/>
          <w:tab w:val="center" w:pos="4819" w:leader="none"/>
          <w:tab w:val="right" w:pos="9638" w:leader="none"/>
        </w:tabs>
        <w:rPr>
          <w:rFonts w:ascii="Arial" w:hAnsi="Arial" w:cs="Arial" w:eastAsia="Arial"/>
        </w:rPr>
      </w:pPr>
      <w:r>
        <w:rPr>
          <w:rFonts w:ascii="Arial" w:hAnsi="Arial" w:cs="Arial" w:eastAsia="Arial"/>
          <w:sz w:val="24"/>
          <w:lang w:eastAsia="it-IT"/>
        </w:rPr>
      </w:r>
      <w:r>
        <w:rPr>
          <w:rFonts w:ascii="Arial" w:hAnsi="Arial" w:cs="Arial" w:eastAsia="Arial"/>
          <w:sz w:val="24"/>
        </w:rPr>
      </w:r>
      <w:r/>
    </w:p>
    <w:p>
      <w:pPr>
        <w:pStyle w:val="761"/>
      </w:pPr>
      <w:r/>
      <w:r/>
    </w:p>
    <w:p>
      <w:pPr>
        <w:jc w:val="center"/>
        <w:rPr>
          <w:rFonts w:ascii="Arial" w:hAnsi="Arial" w:cs="Arial" w:eastAsia="Arial"/>
          <w:b/>
          <w:sz w:val="24"/>
          <w:highlight w:val="none"/>
        </w:rPr>
      </w:pPr>
      <w:r>
        <w:rPr>
          <w:rFonts w:ascii="Arial" w:hAnsi="Arial" w:cs="Arial" w:eastAsia="Arial"/>
          <w:b/>
          <w:sz w:val="24"/>
          <w:highlight w:val="none"/>
        </w:rPr>
      </w:r>
      <w:r>
        <w:rPr>
          <w:rFonts w:ascii="Arial" w:hAnsi="Arial" w:cs="Arial" w:eastAsia="Arial"/>
          <w:b/>
          <w:sz w:val="24"/>
          <w:highlight w:val="none"/>
        </w:rPr>
      </w:r>
      <w:r/>
    </w:p>
    <w:p>
      <w:pPr>
        <w:pStyle w:val="747"/>
        <w:jc w:val="center"/>
        <w:rPr>
          <w:rFonts w:ascii="Arial" w:hAnsi="Arial" w:cs="Arial" w:eastAsia="Arial"/>
          <w:b/>
          <w:bCs/>
          <w:sz w:val="24"/>
          <w:szCs w:val="24"/>
          <w:highlight w:val="none"/>
        </w:rPr>
      </w:pPr>
      <w:r>
        <w:rPr>
          <w:rFonts w:ascii="Arial" w:hAnsi="Arial" w:cs="Arial" w:eastAsia="Arial"/>
          <w:b/>
          <w:sz w:val="24"/>
        </w:rPr>
        <w:t xml:space="preserve">IL CONSIGLIO COMUNALE</w:t>
      </w:r>
      <w:r>
        <w:rPr>
          <w:rFonts w:ascii="Arial" w:hAnsi="Arial" w:cs="Arial" w:eastAsia="Arial"/>
          <w:b/>
          <w:bCs/>
          <w:sz w:val="24"/>
          <w:szCs w:val="24"/>
          <w:highlight w:val="none"/>
        </w:rPr>
      </w:r>
      <w:r/>
    </w:p>
    <w:p>
      <w:pPr>
        <w:jc w:val="left"/>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jc w:val="center"/>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ind w:left="0" w:right="0" w:firstLine="0"/>
        <w:jc w:val="both"/>
        <w:spacing w:before="12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VISTA la legge 27 dicembre 2013 n. 147 (legge di stabilità 2014) che ha istituito l’Imposta Unica Comunale (IUC), a decorrere dal 1gennaio 2014, che si compone delle tre imposte IMU, TASI e TARI, disciplinate dai commi da 639 a 703 (art. 1);</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VISTA la legge 27 dicembre 2019 n. 160 (legge di bilancio 2020) che all’art. 1, comma 738, ha abolito la IUC per le componenti IMU e TASI con decorrenza 01/01/2020, lasciando in vigore le disposizioni relative alla TARI;</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VISTO il D.P.R. 27 aprile 1999, n. 158 istitutivo del c.d. metodo normalizzato (MTN) per la definizione della tariffa del servizio di gestione del ciclo dei rifiuti urbani;</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highlight w:val="white"/>
        </w:rPr>
        <w:t xml:space="preserve">RICORDATO che sulla base del piano finanziario l’ente locale determina la tariffa (art. 8, comma 4, D.P.R. n. 158/1999) prevedendo l’integrale copertura dei costi (art. 11, comma 1, D.P.R. n. 158/1999);</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RICHIAMATO il comma 654 della legge n. 147/2013 (art. 1) che ha ribadito il principio della integrale copertura dei costi, stabilendo che “</w:t>
      </w:r>
      <w:r>
        <w:rPr>
          <w:rFonts w:ascii="Liberation Serif" w:hAnsi="Liberation Serif" w:cs="Liberation Serif" w:eastAsia="Liberation Serif"/>
          <w:i/>
          <w:color w:val="000000"/>
          <w:sz w:val="24"/>
        </w:rPr>
        <w:t xml:space="preserve">In ogni caso deve essere assicurata la copertura integrale dei costi di investimento e di esercizio relativi al servizio, ricomprendendo anche i costi di cui all’articolo 15 del decreto legislativo 13 gennaio 2003, n. 36, ad esclusione dei costi relativi a</w:t>
      </w:r>
      <w:r>
        <w:rPr>
          <w:rFonts w:ascii="Liberation Serif" w:hAnsi="Liberation Serif" w:cs="Liberation Serif" w:eastAsia="Liberation Serif"/>
          <w:i/>
          <w:color w:val="000000"/>
          <w:sz w:val="24"/>
        </w:rPr>
        <w:t xml:space="preserve">i rifiuti speciali al cui smaltimento provvedono a proprie spese i relativi produttori comprovandone l’avvenuto trattamento in conformità alla normativa vigente</w:t>
      </w:r>
      <w:r>
        <w:rPr>
          <w:rFonts w:ascii="Liberation Serif" w:hAnsi="Liberation Serif" w:cs="Liberation Serif" w:eastAsia="Liberation Serif"/>
          <w:color w:val="000000"/>
          <w:sz w:val="24"/>
        </w:rPr>
        <w:t xml:space="preserve">”;</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highlight w:val="white"/>
        </w:rPr>
        <w:t xml:space="preserve">RICORDATO che l’art.</w:t>
      </w:r>
      <w:r>
        <w:rPr>
          <w:rFonts w:ascii="Liberation Serif" w:hAnsi="Liberation Serif" w:cs="Liberation Serif" w:eastAsia="Liberation Serif"/>
          <w:color w:val="000000"/>
          <w:sz w:val="24"/>
        </w:rPr>
        <w:t xml:space="preserve"> 1, comma 527, della Legge 205/2017 ha attribuito all’Autorità di Regolazione per l’Energia Reti e Ambienti (ARERA) precise funzioni di regolazione e controllo in materia di rifiuti urbani, tra le quali la “</w:t>
      </w:r>
      <w:r>
        <w:rPr>
          <w:rFonts w:ascii="Liberation Serif" w:hAnsi="Liberation Serif" w:cs="Liberation Serif" w:eastAsia="Liberation Serif"/>
          <w:i/>
          <w:color w:val="000000"/>
          <w:sz w:val="24"/>
        </w:rPr>
        <w:t xml:space="preserve">predisposizione ed aggiornamento del metodo tariffario per la determinazione dei corrispettivi del servizio integrato dei rifiuti e dei singoli servizi che costituiscono attività di gestione, a copertura dei costi di esercizio e di investimento, compresa l</w:t>
      </w:r>
      <w:r>
        <w:rPr>
          <w:rFonts w:ascii="Liberation Serif" w:hAnsi="Liberation Serif" w:cs="Liberation Serif" w:eastAsia="Liberation Serif"/>
          <w:i/>
          <w:color w:val="000000"/>
          <w:sz w:val="24"/>
        </w:rPr>
        <w:t xml:space="preserve">a remunerazione dei capitali, sulla base della valutazione dei costi efficienti e del principio ‘chi inquina paga’ (…)</w:t>
      </w:r>
      <w:r>
        <w:rPr>
          <w:rFonts w:ascii="Liberation Serif" w:hAnsi="Liberation Serif" w:cs="Liberation Serif" w:eastAsia="Liberation Serif"/>
          <w:color w:val="000000"/>
          <w:sz w:val="24"/>
        </w:rPr>
        <w:t xml:space="preserve">” (lett. f);</w:t>
      </w:r>
      <w:r/>
    </w:p>
    <w:p>
      <w:pPr>
        <w:ind w:left="0" w:right="0" w:firstLine="0"/>
        <w:jc w:val="both"/>
        <w:spacing w:before="240" w:after="24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D</w:t>
      </w:r>
      <w:r>
        <w:rPr>
          <w:rFonts w:ascii="Liberation Serif" w:hAnsi="Liberation Serif" w:cs="Liberation Serif" w:eastAsia="Liberation Serif"/>
          <w:color w:val="000000"/>
          <w:sz w:val="24"/>
        </w:rPr>
        <w:t xml:space="preserve">ATO ATTO che l’ARERA, con deliberazione n. 443 del 31/10/2019 ha stabilito il nuovo Metodo Tariffario Rifiuti (MTR) per il riconoscimento dei costi efficienti di esercizio e di investimento del servizio integrato dei rifiuti per il periodo 2018-2021 (primo</w:t>
      </w:r>
      <w:r>
        <w:rPr>
          <w:rFonts w:ascii="Liberation Serif" w:hAnsi="Liberation Serif" w:cs="Liberation Serif" w:eastAsia="Liberation Serif"/>
          <w:color w:val="000000"/>
          <w:sz w:val="24"/>
        </w:rPr>
        <w:t xml:space="preserve"> periodo regolatorio) da far confluire nel piano finanziario (PEF); </w:t>
      </w:r>
      <w:r/>
    </w:p>
    <w:p>
      <w:pPr>
        <w:ind w:left="0" w:right="0" w:firstLine="0"/>
        <w:jc w:val="both"/>
        <w:spacing w:before="240" w:after="24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D</w:t>
      </w:r>
      <w:r>
        <w:rPr>
          <w:rFonts w:ascii="Liberation Serif" w:hAnsi="Liberation Serif" w:cs="Liberation Serif" w:eastAsia="Liberation Serif"/>
          <w:color w:val="000000"/>
          <w:sz w:val="24"/>
        </w:rPr>
        <w:t xml:space="preserve">ATO ATTO che l’ARERA, con deliberazione n. 363/2021/R/rif del 03/08/2021 ha definito i criteri di riconoscimento dei costi efficienti di servizio e di investimento per il periodo 2022-2025, adottando il MTR-2 (Metodo Tariffario Rifiuti per il secondo perio</w:t>
      </w:r>
      <w:r>
        <w:rPr>
          <w:rFonts w:ascii="Liberation Serif" w:hAnsi="Liberation Serif" w:cs="Liberation Serif" w:eastAsia="Liberation Serif"/>
          <w:color w:val="000000"/>
          <w:sz w:val="24"/>
        </w:rPr>
        <w:t xml:space="preserve">do regolatorio) e stabilendo la validità pluriennale (quadriennale) del piano finanziario;</w:t>
      </w:r>
      <w:r/>
    </w:p>
    <w:p>
      <w:pPr>
        <w:ind w:left="0" w:right="0" w:firstLine="0"/>
        <w:jc w:val="both"/>
        <w:spacing w:before="240" w:after="24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DATO ATTO che l’ARERA, con deliberazione n.397/2025/R/rif del 05/08/2025 ha definito i criteri di riconoscimento dei costi efficienti di servizio e di investimento per il periodo 2026-2029, adottando il MTR-3 (Metodo Tariffario Rifiuti per il terzo periodo</w:t>
      </w:r>
      <w:r>
        <w:rPr>
          <w:rFonts w:ascii="Liberation Serif" w:hAnsi="Liberation Serif" w:cs="Liberation Serif" w:eastAsia="Liberation Serif"/>
          <w:color w:val="000000"/>
          <w:sz w:val="24"/>
        </w:rPr>
        <w:t xml:space="preserve"> regolatorio) e stabilendo la validità pluriennale (quadriennale) del piano finanziario;</w:t>
      </w:r>
      <w:r/>
    </w:p>
    <w:p>
      <w:pPr>
        <w:ind w:left="0" w:right="0" w:firstLine="0"/>
        <w:jc w:val="both"/>
        <w:spacing w:before="240" w:after="24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 </w:t>
      </w:r>
      <w:r/>
    </w:p>
    <w:p>
      <w:pPr>
        <w:ind w:left="0" w:right="0" w:firstLine="0"/>
        <w:jc w:val="both"/>
        <w:spacing w:before="240" w:after="24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R</w:t>
      </w:r>
      <w:r>
        <w:rPr>
          <w:rFonts w:ascii="Liberation Serif" w:hAnsi="Liberation Serif" w:cs="Liberation Serif" w:eastAsia="Liberation Serif"/>
          <w:color w:val="000000"/>
          <w:sz w:val="24"/>
        </w:rPr>
        <w:t xml:space="preserve">ICHIAMATA la determinazione n. 1/2025/DTAC del 07/11/2025 con cui l’ARERA ha approvato gli schemi tipo degli atti costituenti l’aggiornamento della proposta tariffaria e le modalità operative per la relativa trasmissione all’Autorità, ed ha fornito chiarim</w:t>
      </w:r>
      <w:r>
        <w:rPr>
          <w:rFonts w:ascii="Liberation Serif" w:hAnsi="Liberation Serif" w:cs="Liberation Serif" w:eastAsia="Liberation Serif"/>
          <w:color w:val="000000"/>
          <w:sz w:val="24"/>
        </w:rPr>
        <w:t xml:space="preserve">enti su aspetti applicativi della disciplina tariffaria del servizio integrato dei rifiuti approvata con la Deliberazione n. 397/2025/R/rif (MTR-3) per il terzo periodo regolatorio 2026-2029;</w:t>
      </w:r>
      <w:r/>
    </w:p>
    <w:p>
      <w:pPr>
        <w:ind w:left="0" w:right="0" w:firstLine="0"/>
        <w:jc w:val="both"/>
        <w:spacing w:before="240" w:after="24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TENUTO CONTO</w:t>
      </w:r>
      <w:r>
        <w:rPr>
          <w:rFonts w:ascii="Liberation Serif" w:hAnsi="Liberation Serif" w:cs="Liberation Serif" w:eastAsia="Liberation Serif"/>
          <w:b/>
          <w:color w:val="000000"/>
          <w:sz w:val="24"/>
        </w:rPr>
        <w:t xml:space="preserve"> </w:t>
      </w:r>
      <w:r>
        <w:rPr>
          <w:rFonts w:ascii="Liberation Serif" w:hAnsi="Liberation Serif" w:cs="Liberation Serif" w:eastAsia="Liberation Serif"/>
          <w:color w:val="000000"/>
          <w:sz w:val="24"/>
        </w:rPr>
        <w:t xml:space="preserve">che nel territorio di riferimento del Comune di Osimo, l’Assemblea Territoriale d’Ambito dell’ATO2-Ancona (nel prosieguo anche solo ATA), costituita tra la Provincia di Ancona ed i Comuni del territorio provinciale ai sensi dell’art. 2, comma 186 bis della</w:t>
      </w:r>
      <w:r>
        <w:rPr>
          <w:rFonts w:ascii="Liberation Serif" w:hAnsi="Liberation Serif" w:cs="Liberation Serif" w:eastAsia="Liberation Serif"/>
          <w:color w:val="000000"/>
          <w:sz w:val="24"/>
        </w:rPr>
        <w:t xml:space="preserve"> legge 23 dicembre 2009, n. 191 e dell’art. 7 comma 1 della L.R. n. 24/2009, è l’Ente territorialmente competente (ETC) a cui sono demandate la formazione e la validazione del PEF, sulla base dei dati e dei documenti trasmessi dai soggetti Gestori (Comune </w:t>
      </w:r>
      <w:r>
        <w:rPr>
          <w:rFonts w:ascii="Liberation Serif" w:hAnsi="Liberation Serif" w:cs="Liberation Serif" w:eastAsia="Liberation Serif"/>
          <w:color w:val="000000"/>
          <w:sz w:val="24"/>
        </w:rPr>
        <w:t xml:space="preserve">e Astea Spa), nonché la trasmissione del medesimo all’ARERA per la definitiva approvazione;</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V</w:t>
      </w:r>
      <w:r>
        <w:rPr>
          <w:rFonts w:ascii="Liberation Serif" w:hAnsi="Liberation Serif" w:cs="Liberation Serif" w:eastAsia="Liberation Serif"/>
          <w:color w:val="000000"/>
          <w:sz w:val="24"/>
        </w:rPr>
        <w:t xml:space="preserve">ISTA la predisposizione del PEF TARI riferito al periodo regolatorio 2026-2029 per il servizio integrato di gestione dei Rifiuti Urbani del Comune di Osimo validato dall’ATA con determinazione direttoriale n. 131 del 08/07/2026, trasmessa tramite PEC in da</w:t>
      </w:r>
      <w:r>
        <w:rPr>
          <w:rFonts w:ascii="Liberation Serif" w:hAnsi="Liberation Serif" w:cs="Liberation Serif" w:eastAsia="Liberation Serif"/>
          <w:color w:val="000000"/>
          <w:sz w:val="24"/>
        </w:rPr>
        <w:t xml:space="preserve">ta 08/07/2026 registrata al protocollo del Comune al n. 23725;</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PRESO ATTO che il PEF TARI validato dall’ATA prevede per l’anno 2026 un costo complessivo di € </w:t>
      </w:r>
      <w:r>
        <w:rPr>
          <w:rFonts w:ascii="Liberation Serif" w:hAnsi="Liberation Serif" w:cs="Liberation Serif" w:eastAsia="Liberation Serif"/>
          <w:b/>
          <w:color w:val="000000"/>
          <w:sz w:val="24"/>
        </w:rPr>
        <w:t xml:space="preserve">7.317.327,00</w:t>
      </w:r>
      <w:r>
        <w:rPr>
          <w:rFonts w:ascii="Liberation Serif" w:hAnsi="Liberation Serif" w:cs="Liberation Serif" w:eastAsia="Liberation Serif"/>
          <w:color w:val="000000"/>
          <w:sz w:val="24"/>
        </w:rPr>
        <w:t xml:space="preserve">, suddiviso in € 2.951.265,00 di costi di parte fissa ed € 4.366.062,00 di parte variabile; </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PRECISATO che al netto delle detrazioni di cui al comma 4.5 della Determinazione ARERA n. 1/DTAC/2025 (pari ad € 133.972,00), l’ammontare dei costi del PEF 2026 da coprire con le entrate tariffarie si riduce ad </w:t>
      </w:r>
      <w:r>
        <w:rPr>
          <w:rFonts w:ascii="Liberation Serif" w:hAnsi="Liberation Serif" w:cs="Liberation Serif" w:eastAsia="Liberation Serif"/>
          <w:b/>
          <w:color w:val="000000"/>
          <w:sz w:val="24"/>
        </w:rPr>
        <w:t xml:space="preserve">€ 7.183.355,00</w:t>
      </w:r>
      <w:r>
        <w:rPr>
          <w:rFonts w:ascii="Liberation Serif" w:hAnsi="Liberation Serif" w:cs="Liberation Serif" w:eastAsia="Liberation Serif"/>
          <w:color w:val="000000"/>
          <w:sz w:val="24"/>
        </w:rPr>
        <w:t xml:space="preserve">, suddiviso in € 2.901.012,00 di costi di parte fissa ed € 4.282.343,00 di parte variabile, in base al quale saranno determinate le nuove tariffe per l’anno 2026;</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D</w:t>
      </w:r>
      <w:r>
        <w:rPr>
          <w:rFonts w:ascii="Liberation Serif" w:hAnsi="Liberation Serif" w:cs="Liberation Serif" w:eastAsia="Liberation Serif"/>
          <w:color w:val="000000"/>
          <w:sz w:val="24"/>
        </w:rPr>
        <w:t xml:space="preserve">ATO ATTO che nella determinazione finale delle tariffe agli utenti, oltre alle variazioni dei costi che compongono il PEF e delle detrazioni applicabili, incidono anche le variazioni della base imponibile, ovvero le variazioni del numero delle utenze e del</w:t>
      </w:r>
      <w:r>
        <w:rPr>
          <w:rFonts w:ascii="Liberation Serif" w:hAnsi="Liberation Serif" w:cs="Liberation Serif" w:eastAsia="Liberation Serif"/>
          <w:color w:val="000000"/>
          <w:sz w:val="24"/>
        </w:rPr>
        <w:t xml:space="preserve">le superfici soggette a tassazione;</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highlight w:val="white"/>
        </w:rPr>
        <w:t xml:space="preserve">RI</w:t>
      </w:r>
      <w:r>
        <w:rPr>
          <w:rFonts w:ascii="Liberation Serif" w:hAnsi="Liberation Serif" w:cs="Liberation Serif" w:eastAsia="Liberation Serif"/>
          <w:color w:val="000000"/>
          <w:sz w:val="24"/>
          <w:highlight w:val="white"/>
        </w:rPr>
        <w:t xml:space="preserve">TENUTO di dover prendere atto della predisposizione del PEF validato dall’ATA con la determinazione n. 131 del 08/07/2026 e suoi allegati, riportati nell’allegato 1) alla presente deliberazione, ai fini dell’approvazione delle tariffe per l’anno 2026, nell</w:t>
      </w:r>
      <w:r>
        <w:rPr>
          <w:rFonts w:ascii="Liberation Serif" w:hAnsi="Liberation Serif" w:cs="Liberation Serif" w:eastAsia="Liberation Serif"/>
          <w:color w:val="000000"/>
          <w:sz w:val="24"/>
          <w:highlight w:val="white"/>
        </w:rPr>
        <w:t xml:space="preserve">e more dell’approvazione da parte dell’ARERA;</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VISTE le tariffe per la copertura dei costi risultanti dal PEF così come previsto dall’ATA per l’anno 2026, come illustrate nell’allegato 2) alla presente deliberazione;</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RICHIAMATO il comma 5-quinquies del medesimo articolo 3 del D.L. n. 228 del 30/12/2021 (c.d. Milleproroghe), introdotto dalla legge di conversione n. 15 del 25/02/2022, il quale prevede che “</w:t>
      </w:r>
      <w:r>
        <w:rPr>
          <w:rFonts w:ascii="Times New Roman" w:hAnsi="Times New Roman" w:cs="Times New Roman" w:eastAsia="Times New Roman"/>
          <w:i/>
          <w:color w:val="000000"/>
          <w:sz w:val="24"/>
        </w:rPr>
        <w:t xml:space="preserve">A decorrere dall’anno 2022, i comuni, in deroga all’articolo 1, comma 683, della legge 27 dicembre 2013, n. 147, possono approvare i piani finanziari del servizio di gestione dei rifiuti urbani, le tariffe e i regolamenti della TARI e della tariffa corrisp</w:t>
      </w:r>
      <w:r>
        <w:rPr>
          <w:rFonts w:ascii="Times New Roman" w:hAnsi="Times New Roman" w:cs="Times New Roman" w:eastAsia="Times New Roman"/>
          <w:i/>
          <w:color w:val="000000"/>
          <w:sz w:val="24"/>
        </w:rPr>
        <w:t xml:space="preserve">ettiva </w:t>
      </w:r>
      <w:r>
        <w:rPr>
          <w:rFonts w:ascii="Times New Roman" w:hAnsi="Times New Roman" w:cs="Times New Roman" w:eastAsia="Times New Roman"/>
          <w:b/>
          <w:i/>
          <w:color w:val="000000"/>
          <w:sz w:val="24"/>
        </w:rPr>
        <w:t xml:space="preserve">entro il termine del 30 aprile</w:t>
      </w:r>
      <w:r>
        <w:rPr>
          <w:rFonts w:ascii="Times New Roman" w:hAnsi="Times New Roman" w:cs="Times New Roman" w:eastAsia="Times New Roman"/>
          <w:i/>
          <w:color w:val="000000"/>
          <w:sz w:val="24"/>
        </w:rPr>
        <w:t xml:space="preserve"> di ciascun anno</w:t>
      </w:r>
      <w:r>
        <w:rPr>
          <w:rFonts w:ascii="Times New Roman" w:hAnsi="Times New Roman" w:cs="Times New Roman" w:eastAsia="Times New Roman"/>
          <w:color w:val="000000"/>
          <w:sz w:val="24"/>
        </w:rPr>
        <w:t xml:space="preserve">”;</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Visto l’art. 1, comma 677 della L. 199/2025, in base a quale: </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SimSun" w:hAnsi="SimSun" w:cs="SimSun" w:eastAsia="SimSun"/>
          <w:i/>
          <w:color w:val="000000"/>
          <w:sz w:val="24"/>
        </w:rPr>
        <w:t xml:space="preserve">“</w:t>
      </w:r>
      <w:r>
        <w:rPr>
          <w:rFonts w:ascii="Times New Roman" w:hAnsi="Times New Roman" w:cs="Times New Roman" w:eastAsia="Times New Roman"/>
          <w:i/>
          <w:color w:val="000000"/>
          <w:sz w:val="24"/>
        </w:rPr>
        <w:t xml:space="preserve">All'articolo 3, comma 5-quinquies, del decreto-legge 30 dicembre 2021, n. 228, convertito, con modificazioni, dalla legge 25 febbraio 2022, n. 15, le parole: «30 aprile», ovunque ricorrono, sono sostituite dalle seguenti</w:t>
      </w:r>
      <w:r>
        <w:rPr>
          <w:rFonts w:ascii="Times New Roman" w:hAnsi="Times New Roman" w:cs="Times New Roman" w:eastAsia="Times New Roman"/>
          <w:b/>
          <w:i/>
          <w:color w:val="000000"/>
          <w:sz w:val="24"/>
        </w:rPr>
        <w:t xml:space="preserve">: «31 luglio»</w:t>
      </w:r>
      <w:r>
        <w:rPr>
          <w:rFonts w:ascii="SimSun" w:hAnsi="SimSun" w:cs="SimSun" w:eastAsia="SimSun"/>
          <w:i/>
          <w:color w:val="000000"/>
          <w:sz w:val="24"/>
        </w:rPr>
        <w:t xml:space="preserve">”</w:t>
      </w:r>
      <w:r>
        <w:rPr>
          <w:rFonts w:ascii="Times New Roman" w:hAnsi="Times New Roman" w:cs="Times New Roman" w:eastAsia="Times New Roman"/>
          <w:i/>
          <w:color w:val="000000"/>
          <w:sz w:val="24"/>
        </w:rPr>
        <w:t xml:space="preserve">;</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RITENUTO di dover approvare le tariffe TARI per l’anno 2026 entro il termine di Legge;</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RICHIAMATO quanto disposto con Deliberazione di Consiglio Comunale n. 42 del 18-06-2026 in merito alla definizione delle scadenze di pagamento;</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Visto l'art. 1, comma 660 della legge 27 dicembre 2013 n. 147, che testualmente recita:</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«Il comune può deliberare, con regolamento di cui all'articolo 52 del citato decreto legislativo n. 446 del 1997, ulteriori riduzioni ed esenzioni rispetto a quelle previste dalle lettere da a) a e) del comma 659. La relativa copertura può essere disposta </w:t>
      </w:r>
      <w:r>
        <w:rPr>
          <w:rFonts w:ascii="Liberation Serif" w:hAnsi="Liberation Serif" w:cs="Liberation Serif" w:eastAsia="Liberation Serif"/>
          <w:color w:val="000000"/>
          <w:sz w:val="24"/>
        </w:rPr>
        <w:t xml:space="preserve">attraverso apposite autorizzazioni di spesa e deve essere assicurata attraverso il ricorso a risorse derivanti dalla fiscalità generale del comune.» </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Richiamato l’art.27 comma 3 del vigente Regolamento della TARI il quale disciplina le ulteriori riduzioni ed esenzioni di cui al citato comma 660 e che prevede espressamente:</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SimSun" w:hAnsi="SimSun" w:cs="SimSun" w:eastAsia="SimSun"/>
          <w:color w:val="000000"/>
          <w:sz w:val="24"/>
        </w:rPr>
        <w:t xml:space="preserve">“</w:t>
      </w:r>
      <w:r>
        <w:rPr>
          <w:rFonts w:ascii="Liberation Serif" w:hAnsi="Liberation Serif" w:cs="Liberation Serif" w:eastAsia="Liberation Serif"/>
          <w:i/>
          <w:color w:val="000000"/>
          <w:sz w:val="24"/>
        </w:rPr>
        <w:t xml:space="preserve">Il Comune ha facoltà di stabilire, nella delibera annuale di approvazione delle tariffe, ulteriori riduzioni o agevolazioni per finalità sociali, equitative, di sostegno allo sviluppo del territorio o per altre ragioni di rilevante interesse pubblico, gara</w:t>
      </w:r>
      <w:r>
        <w:rPr>
          <w:rFonts w:ascii="Liberation Serif" w:hAnsi="Liberation Serif" w:cs="Liberation Serif" w:eastAsia="Liberation Serif"/>
          <w:i/>
          <w:color w:val="000000"/>
          <w:sz w:val="24"/>
        </w:rPr>
        <w:t xml:space="preserve">ntendone la relativa copertura finanziaria mediante il ricorso ad entrate derivanti dalla fiscalità generale dell’Ente, ivi compresi eventuali trasferimenti di fondi statali o regionali</w:t>
      </w:r>
      <w:r>
        <w:rPr>
          <w:rFonts w:ascii="Arial" w:hAnsi="Arial" w:cs="Arial" w:eastAsia="Arial"/>
          <w:color w:val="000000"/>
          <w:sz w:val="24"/>
        </w:rPr>
        <w:t xml:space="preserve">”</w:t>
      </w:r>
      <w:r>
        <w:rPr>
          <w:rFonts w:ascii="Liberation Serif" w:hAnsi="Liberation Serif" w:cs="Liberation Serif" w:eastAsia="Liberation Serif"/>
          <w:color w:val="000000"/>
          <w:sz w:val="24"/>
        </w:rPr>
        <w:t xml:space="preserve">;</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Considerato che alle suddette agevolazioni viene data attuazione nei termini e nei modi meglio specificati nella parte dispositiva che segue.</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Atteso che l’onere finanziario per le suddette riduzioni, sulla base delle stime effettuate dall’ufficio, ammonta ad </w:t>
      </w:r>
      <w:r>
        <w:rPr>
          <w:rFonts w:ascii="SimSun" w:hAnsi="SimSun" w:cs="SimSun" w:eastAsia="SimSun"/>
          <w:color w:val="000000"/>
          <w:sz w:val="24"/>
        </w:rPr>
        <w:t xml:space="preserve">€</w:t>
      </w:r>
      <w:r>
        <w:rPr>
          <w:rFonts w:ascii="Liberation Serif" w:hAnsi="Liberation Serif" w:cs="Liberation Serif" w:eastAsia="Liberation Serif"/>
          <w:color w:val="000000"/>
          <w:sz w:val="24"/>
        </w:rPr>
        <w:t xml:space="preserve"> 88.345,57;</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RICORDATO che sull’importo del tributo comunale sui rifiuti (TARI) si applica il tributo provinciale per l’esercizio delle funzioni ambientali di cui all’art. 19 del D.Lgs. n. 504/1992 all’aliquota deliberata dalla Provincia (c.d. TEFA);</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Richiamata la delibera Arera n. 386/2023/R/rif la quale ha introdotto a decorrere dal 1</w:t>
      </w:r>
      <w:r>
        <w:rPr>
          <w:rFonts w:ascii="SimSun" w:hAnsi="SimSun" w:cs="SimSun" w:eastAsia="SimSun"/>
          <w:color w:val="000000"/>
          <w:sz w:val="24"/>
        </w:rPr>
        <w:t xml:space="preserve">°</w:t>
      </w:r>
      <w:r>
        <w:rPr>
          <w:rFonts w:ascii="Liberation Serif" w:hAnsi="Liberation Serif" w:cs="Liberation Serif" w:eastAsia="Liberation Serif"/>
          <w:color w:val="000000"/>
          <w:sz w:val="24"/>
        </w:rPr>
        <w:t xml:space="preserve"> gennaio 2024 le seguenti componenti perequative unitarie che si applicano a tutte le utenze del servizio di gestione dei rifiuti urbani in aggiunta al corrispettivo dovuto per la TARI o per la tariffa corrispettiva:</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a) </w:t>
      </w:r>
      <w:r>
        <w:rPr>
          <w:rFonts w:ascii="Cambria Math" w:hAnsi="Cambria Math" w:cs="Cambria Math" w:eastAsia="Cambria Math"/>
          <w:color w:val="000000"/>
          <w:sz w:val="24"/>
        </w:rPr>
        <w:t xml:space="preserve">𝑈𝑅</w:t>
      </w:r>
      <w:r>
        <w:rPr>
          <w:rFonts w:ascii="Liberation Serif" w:hAnsi="Liberation Serif" w:cs="Liberation Serif" w:eastAsia="Liberation Serif"/>
          <w:color w:val="000000"/>
          <w:sz w:val="24"/>
        </w:rPr>
        <w:t xml:space="preserve">1,</w:t>
      </w:r>
      <w:r>
        <w:rPr>
          <w:rFonts w:ascii="Cambria Math" w:hAnsi="Cambria Math" w:cs="Cambria Math" w:eastAsia="Cambria Math"/>
          <w:color w:val="000000"/>
          <w:sz w:val="24"/>
        </w:rPr>
        <w:t xml:space="preserve">𝑎</w:t>
      </w:r>
      <w:r>
        <w:rPr>
          <w:rFonts w:ascii="Liberation Serif" w:hAnsi="Liberation Serif" w:cs="Liberation Serif" w:eastAsia="Liberation Serif"/>
          <w:color w:val="000000"/>
          <w:sz w:val="24"/>
        </w:rPr>
        <w:t xml:space="preserve">, per la copertura dei costi di gestione dei rifiuti accidentalmente pescati e dei rifiuti volontariamente raccolti, pari, per l</w:t>
      </w:r>
      <w:r>
        <w:rPr>
          <w:rFonts w:ascii="Arial" w:hAnsi="Arial" w:cs="Arial" w:eastAsia="Arial"/>
          <w:color w:val="000000"/>
          <w:sz w:val="24"/>
        </w:rPr>
        <w:t xml:space="preserve">’</w:t>
      </w:r>
      <w:r>
        <w:rPr>
          <w:rFonts w:ascii="Liberation Serif" w:hAnsi="Liberation Serif" w:cs="Liberation Serif" w:eastAsia="Liberation Serif"/>
          <w:color w:val="000000"/>
          <w:sz w:val="24"/>
        </w:rPr>
        <w:t xml:space="preserve">anno 2024, ad </w:t>
      </w:r>
      <w:r>
        <w:rPr>
          <w:rFonts w:ascii="SimSun" w:hAnsi="SimSun" w:cs="SimSun" w:eastAsia="SimSun"/>
          <w:color w:val="000000"/>
          <w:sz w:val="24"/>
        </w:rPr>
        <w:t xml:space="preserve">€</w:t>
      </w:r>
      <w:r>
        <w:rPr>
          <w:rFonts w:ascii="Liberation Serif" w:hAnsi="Liberation Serif" w:cs="Liberation Serif" w:eastAsia="Liberation Serif"/>
          <w:color w:val="000000"/>
          <w:sz w:val="24"/>
        </w:rPr>
        <w:t xml:space="preserve"> 0,10 per utenza per anno;</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b) </w:t>
      </w:r>
      <w:r>
        <w:rPr>
          <w:rFonts w:ascii="Cambria Math" w:hAnsi="Cambria Math" w:cs="Cambria Math" w:eastAsia="Cambria Math"/>
          <w:color w:val="000000"/>
          <w:sz w:val="24"/>
        </w:rPr>
        <w:t xml:space="preserve">𝑈𝑅</w:t>
      </w:r>
      <w:r>
        <w:rPr>
          <w:rFonts w:ascii="Liberation Serif" w:hAnsi="Liberation Serif" w:cs="Liberation Serif" w:eastAsia="Liberation Serif"/>
          <w:color w:val="000000"/>
          <w:sz w:val="24"/>
        </w:rPr>
        <w:t xml:space="preserve">2,</w:t>
      </w:r>
      <w:r>
        <w:rPr>
          <w:rFonts w:ascii="Cambria Math" w:hAnsi="Cambria Math" w:cs="Cambria Math" w:eastAsia="Cambria Math"/>
          <w:color w:val="000000"/>
          <w:sz w:val="24"/>
        </w:rPr>
        <w:t xml:space="preserve">𝑎</w:t>
      </w:r>
      <w:r>
        <w:rPr>
          <w:rFonts w:ascii="Liberation Serif" w:hAnsi="Liberation Serif" w:cs="Liberation Serif" w:eastAsia="Liberation Serif"/>
          <w:color w:val="000000"/>
          <w:sz w:val="24"/>
        </w:rPr>
        <w:t xml:space="preserve">, per la copertura delle agevolazioni riconosciute per eventi eccezionali e calamitosi, pari, per l</w:t>
      </w:r>
      <w:r>
        <w:rPr>
          <w:rFonts w:ascii="SimSun" w:hAnsi="SimSun" w:cs="SimSun" w:eastAsia="SimSun"/>
          <w:color w:val="000000"/>
          <w:sz w:val="24"/>
        </w:rPr>
        <w:t xml:space="preserve">’</w:t>
      </w:r>
      <w:r>
        <w:rPr>
          <w:rFonts w:ascii="Liberation Serif" w:hAnsi="Liberation Serif" w:cs="Liberation Serif" w:eastAsia="Liberation Serif"/>
          <w:color w:val="000000"/>
          <w:sz w:val="24"/>
        </w:rPr>
        <w:t xml:space="preserve">anno 2024, ad </w:t>
      </w:r>
      <w:r>
        <w:rPr>
          <w:rFonts w:ascii="SimSun" w:hAnsi="SimSun" w:cs="SimSun" w:eastAsia="SimSun"/>
          <w:color w:val="000000"/>
          <w:sz w:val="24"/>
        </w:rPr>
        <w:t xml:space="preserve">€</w:t>
      </w:r>
      <w:r>
        <w:rPr>
          <w:rFonts w:ascii="Liberation Serif" w:hAnsi="Liberation Serif" w:cs="Liberation Serif" w:eastAsia="Liberation Serif"/>
          <w:color w:val="000000"/>
          <w:sz w:val="24"/>
        </w:rPr>
        <w:t xml:space="preserve"> 1,50 per utenza per anno;</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 Richiamati inoltre:</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SimSun" w:hAnsi="SimSun" w:cs="SimSun" w:eastAsia="SimSun"/>
          <w:color w:val="000000"/>
          <w:sz w:val="24"/>
        </w:rPr>
        <w:t xml:space="preserve">•</w:t>
      </w:r>
      <w:r>
        <w:rPr>
          <w:rFonts w:ascii="Liberation Serif" w:hAnsi="Liberation Serif" w:cs="Liberation Serif" w:eastAsia="Liberation Serif"/>
          <w:color w:val="000000"/>
          <w:sz w:val="24"/>
        </w:rPr>
        <w:t xml:space="preserve"> il DPCM 21/01/2025, n. 24, che ha disciplinato i principi ed i criteri per la definizione delle modalità applicative delle agevolazioni tariffarie in favore degli utenti non domestici del servizio di gestione integrata dei rifiuti urbani in condizioni eco</w:t>
      </w:r>
      <w:r>
        <w:rPr>
          <w:rFonts w:ascii="Liberation Serif" w:hAnsi="Liberation Serif" w:cs="Liberation Serif" w:eastAsia="Liberation Serif"/>
          <w:color w:val="000000"/>
          <w:sz w:val="24"/>
        </w:rPr>
        <w:t xml:space="preserve">nomico-sociali disagiate, in attuazione di quanto previsto dall’art. 57-bis, comma 2, del D.L. 26 ottobre 2019, n. 124, convertito con modificazioni dalla L. 19 dicembre 2019, n. 157, prevedendo l’introduzione di una nuova componente perequativa per la cop</w:t>
      </w:r>
      <w:r>
        <w:rPr>
          <w:rFonts w:ascii="Liberation Serif" w:hAnsi="Liberation Serif" w:cs="Liberation Serif" w:eastAsia="Liberation Serif"/>
          <w:color w:val="000000"/>
          <w:sz w:val="24"/>
        </w:rPr>
        <w:t xml:space="preserve">ertura degli oneri derivanti dall’applicazione delle agevolazioni di cui sopra, applicata alla generalità dell’utenza, domestica e non domestica;</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SimSun" w:hAnsi="SimSun" w:cs="SimSun" w:eastAsia="SimSun"/>
          <w:color w:val="000000"/>
          <w:sz w:val="24"/>
        </w:rPr>
        <w:t xml:space="preserve">•</w:t>
      </w:r>
      <w:r>
        <w:rPr>
          <w:rFonts w:ascii="Liberation Serif" w:hAnsi="Liberation Serif" w:cs="Liberation Serif" w:eastAsia="Liberation Serif"/>
          <w:color w:val="000000"/>
          <w:sz w:val="24"/>
        </w:rPr>
        <w:t xml:space="preserve"> la deliberazione ARERA n. 133/R/rif del 01/04/2025, la quale ha disciplinato la nuova componente perequativa UR3,a, pari a </w:t>
      </w:r>
      <w:r>
        <w:rPr>
          <w:rFonts w:ascii="SimSun" w:hAnsi="SimSun" w:cs="SimSun" w:eastAsia="SimSun"/>
          <w:color w:val="000000"/>
          <w:sz w:val="24"/>
        </w:rPr>
        <w:t xml:space="preserve">€</w:t>
      </w:r>
      <w:r>
        <w:rPr>
          <w:rFonts w:ascii="Liberation Serif" w:hAnsi="Liberation Serif" w:cs="Liberation Serif" w:eastAsia="Liberation Serif"/>
          <w:color w:val="000000"/>
          <w:sz w:val="24"/>
        </w:rPr>
        <w:t xml:space="preserve"> 6,00 ad utenza domestica e non domestica, da applicarsi a decorrere da 1</w:t>
      </w:r>
      <w:r>
        <w:rPr>
          <w:rFonts w:ascii="SimSun" w:hAnsi="SimSun" w:cs="SimSun" w:eastAsia="SimSun"/>
          <w:color w:val="000000"/>
          <w:sz w:val="24"/>
        </w:rPr>
        <w:t xml:space="preserve">°</w:t>
      </w:r>
      <w:r>
        <w:rPr>
          <w:rFonts w:ascii="Liberation Serif" w:hAnsi="Liberation Serif" w:cs="Liberation Serif" w:eastAsia="Liberation Serif"/>
          <w:color w:val="000000"/>
          <w:sz w:val="24"/>
        </w:rPr>
        <w:t xml:space="preserve"> gennaio 2025, per il finanziamento degli oneri derivanti dall’applicazione dell’agevolazione di cui al DPCM 21/01/2025;</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Tenuto conto inoltre che, secondo quanto previsto dalla deliberazione ARERA n. 386/R/Rif, le componenti perequative di cui sopra si aggiungono alla tassa sui rifiuti;</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Preso atto che il tributo per l’esercizio e le funzioni di tutela, protezione e igiene ambientale (TEFA) deve essere riversato, a norma dell’art. 19 del D.Lgs 30 dicembre 1992, n. 504, alla competente Provincia di Ancona e che le componenti perequative UR1</w:t>
      </w:r>
      <w:r>
        <w:rPr>
          <w:rFonts w:ascii="Liberation Serif" w:hAnsi="Liberation Serif" w:cs="Liberation Serif" w:eastAsia="Liberation Serif"/>
          <w:color w:val="000000"/>
          <w:sz w:val="24"/>
        </w:rPr>
        <w:t xml:space="preserve"> e UR2 devono essere versate alla Cassa per i Servizi Energetici e Ambientali (CSEA), entro il termine del 15 marzo dell’anno successivo;</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RICHIAMATA la delibera di Giunta Comunale </w:t>
      </w:r>
      <w:r>
        <w:rPr>
          <w:rFonts w:ascii="Liberation Serif" w:hAnsi="Liberation Serif" w:cs="Liberation Serif" w:eastAsia="Liberation Serif"/>
          <w:color w:val="000000"/>
          <w:sz w:val="24"/>
          <w:highlight w:val="yellow"/>
        </w:rPr>
        <w:t xml:space="preserve">n</w:t>
      </w:r>
      <w:r>
        <w:rPr>
          <w:rFonts w:ascii="Liberation Serif" w:hAnsi="Liberation Serif" w:cs="Liberation Serif" w:eastAsia="Liberation Serif"/>
          <w:color w:val="000000"/>
          <w:sz w:val="24"/>
          <w:highlight w:val="yellow"/>
        </w:rPr>
        <w:t xml:space="preserve">. ___</w:t>
      </w:r>
      <w:r>
        <w:rPr>
          <w:rFonts w:ascii="Liberation Serif" w:hAnsi="Liberation Serif" w:cs="Liberation Serif" w:eastAsia="Liberation Serif"/>
          <w:color w:val="000000"/>
          <w:sz w:val="24"/>
          <w:highlight w:val="white"/>
        </w:rPr>
        <w:t xml:space="preserve"> del 23/07/2026 con</w:t>
      </w:r>
      <w:r>
        <w:rPr>
          <w:rFonts w:ascii="Liberation Serif" w:hAnsi="Liberation Serif" w:cs="Liberation Serif" w:eastAsia="Liberation Serif"/>
          <w:color w:val="000000"/>
          <w:sz w:val="24"/>
        </w:rPr>
        <w:t xml:space="preserve"> cui la Giunta ha proposto al Consiglio Comunale di prendere atto del PEF predisposto dall’ATA e di approvare le tariffe per il corrente anno 2026;</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ACQUISITI i seguenti pareri, ai sensi dell’art. 49 del D.Lgs. n. 267/2000:</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Parere favorevole di regolarità tecnica e contabile</w:t>
      </w:r>
      <w:r/>
    </w:p>
    <w:p>
      <w:pPr>
        <w:ind w:left="0" w:right="0" w:firstLine="0"/>
        <w:jc w:val="both"/>
        <w:spacing w:before="12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La Dirigente Dipartimento delle Finanze, Dott.ssa Anna Tiberi;</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VISTO il parere favorevole </w:t>
      </w:r>
      <w:r>
        <w:rPr>
          <w:rFonts w:ascii="Times New Roman" w:hAnsi="Times New Roman" w:cs="Times New Roman" w:eastAsia="Times New Roman"/>
          <w:color w:val="000000"/>
          <w:sz w:val="24"/>
          <w:highlight w:val="yellow"/>
        </w:rPr>
        <w:t xml:space="preserve">n. ....... del ..........</w:t>
      </w:r>
      <w:r>
        <w:rPr>
          <w:rFonts w:ascii="Times New Roman" w:hAnsi="Times New Roman" w:cs="Times New Roman" w:eastAsia="Times New Roman"/>
          <w:color w:val="000000"/>
          <w:sz w:val="24"/>
        </w:rPr>
        <w:t xml:space="preserve"> dell’Organo di Revisione economico-finanziaria rilasciato ai sensi dell’art. 239, comma 1, lett. b) del D.Lgs. 267/2000; </w:t>
      </w:r>
      <w:r/>
    </w:p>
    <w:p>
      <w:pPr>
        <w:ind w:left="0" w:right="0" w:firstLine="0"/>
        <w:jc w:val="both"/>
        <w:spacing w:before="36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VISTO il D.Lgs. n. 267/2000;</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VISTO lo Statuto dell’Ente;</w:t>
      </w:r>
      <w:r/>
    </w:p>
    <w:p>
      <w:pPr>
        <w:ind w:left="0" w:right="0" w:firstLine="0"/>
        <w:jc w:val="both"/>
        <w:spacing w:before="24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VISTO il Regolamento di contabilità dell’Ente;</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Con la seguente votazione:</w:t>
      </w: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360" w:right="0" w:firstLine="0"/>
        <w:jc w:val="both"/>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ab/>
      </w:r>
      <w:r/>
    </w:p>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D E L I B E R A</w:t>
      </w:r>
      <w:r/>
    </w:p>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0" w:right="0" w:firstLine="0"/>
        <w:jc w:val="both"/>
        <w:spacing w:before="0" w:after="36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Per le motivazioni in narrativa espresse:</w:t>
      </w:r>
      <w:r/>
    </w:p>
    <w:p>
      <w:pPr>
        <w:numPr>
          <w:ilvl w:val="0"/>
          <w:numId w:val="1"/>
        </w:numPr>
        <w:jc w:val="both"/>
        <w:spacing w:before="12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di prendere atto della determinazione n. 131 del 08/07/2026 del Direttore dell’Assemblea Territoriale d’Ambito - ATO2 Ancona (ATA) e relativi allegati, avente ad oggetto: “PEF TARI </w:t>
      </w:r>
      <w:r>
        <w:rPr>
          <w:rFonts w:ascii="Liberation Serif" w:hAnsi="Liberation Serif" w:cs="Liberation Serif" w:eastAsia="Liberation Serif"/>
          <w:i/>
          <w:color w:val="000000"/>
          <w:sz w:val="24"/>
        </w:rPr>
        <w:t xml:space="preserve">Ambito tariffario del Comune di Osimo: determinazione delle entrate tariffarie per il servizio integrato di gestione dei Rifiuti Urbani del periodo regolatorio 2026-2029 in applicazione della Deliberazione ARERA 397/2025/R/RIF (MTR-3)</w:t>
      </w:r>
      <w:r>
        <w:rPr>
          <w:rFonts w:ascii="Liberation Serif" w:hAnsi="Liberation Serif" w:cs="Liberation Serif" w:eastAsia="Liberation Serif"/>
          <w:color w:val="000000"/>
          <w:sz w:val="24"/>
        </w:rPr>
        <w:t xml:space="preserve">”, allegata alla presente deliberazione, come </w:t>
      </w:r>
      <w:r>
        <w:rPr>
          <w:rFonts w:ascii="Liberation Serif" w:hAnsi="Liberation Serif" w:cs="Liberation Serif" w:eastAsia="Liberation Serif"/>
          <w:b/>
          <w:color w:val="000000"/>
          <w:sz w:val="24"/>
        </w:rPr>
        <w:t xml:space="preserve">allegato 1)</w:t>
      </w:r>
      <w:r>
        <w:rPr>
          <w:rFonts w:ascii="Liberation Serif" w:hAnsi="Liberation Serif" w:cs="Liberation Serif" w:eastAsia="Liberation Serif"/>
          <w:color w:val="000000"/>
          <w:sz w:val="24"/>
        </w:rPr>
        <w:t xml:space="preserve">; </w:t>
      </w:r>
      <w:r/>
    </w:p>
    <w:p>
      <w:pPr>
        <w:numPr>
          <w:ilvl w:val="0"/>
          <w:numId w:val="1"/>
        </w:numPr>
        <w:jc w:val="both"/>
        <w:spacing w:before="12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di approvare le tariffe per la copertura dei costi risultanti dal PEF per l’anno 2026, come illustrate nell’</w:t>
      </w:r>
      <w:r>
        <w:rPr>
          <w:rFonts w:ascii="Liberation Serif" w:hAnsi="Liberation Serif" w:cs="Liberation Serif" w:eastAsia="Liberation Serif"/>
          <w:b/>
          <w:color w:val="000000"/>
          <w:sz w:val="24"/>
        </w:rPr>
        <w:t xml:space="preserve">allegato 2)</w:t>
      </w:r>
      <w:r>
        <w:rPr>
          <w:rFonts w:ascii="Liberation Serif" w:hAnsi="Liberation Serif" w:cs="Liberation Serif" w:eastAsia="Liberation Serif"/>
          <w:color w:val="000000"/>
          <w:sz w:val="24"/>
        </w:rPr>
        <w:t xml:space="preserve"> alla presente deliberazione;</w:t>
      </w:r>
      <w:r/>
    </w:p>
    <w:p>
      <w:pPr>
        <w:numPr>
          <w:ilvl w:val="0"/>
          <w:numId w:val="1"/>
        </w:numPr>
        <w:jc w:val="both"/>
        <w:spacing w:before="120" w:after="0"/>
        <w:tabs>
          <w:tab w:val="left" w:pos="720" w:leader="none"/>
        </w:tabs>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di approvare le seguenti agevolazioni TARI su quota fissa e quota variabile:</w:t>
      </w:r>
      <w:r/>
    </w:p>
    <w:p>
      <w:pPr>
        <w:ind w:left="72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72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i/>
          <w:color w:val="000000"/>
          <w:sz w:val="24"/>
        </w:rPr>
        <w:t xml:space="preserve">UTENZE DOMESTICHE </w:t>
      </w:r>
      <w:r/>
    </w:p>
    <w:p>
      <w:pPr>
        <w:ind w:left="72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tbl>
      <w:tblPr>
        <w:tblStyle w:val="736"/>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38"/>
        <w:gridCol w:w="4470"/>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438"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VALORE ISEE</w:t>
            </w: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4470"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RIDUZIONE</w:t>
            </w:r>
            <w:r/>
          </w:p>
        </w:tc>
      </w:tr>
      <w:tr>
        <w:trPr/>
        <w:tc>
          <w:tcPr>
            <w:tcBorders>
              <w:top w:val="none" w:color="000000" w:sz="4" w:space="0"/>
              <w:left w:val="single" w:color="000000" w:sz="8" w:space="0"/>
              <w:bottom w:val="single" w:color="000000" w:sz="8" w:space="0"/>
              <w:right w:val="single" w:color="000000" w:sz="8" w:space="0"/>
            </w:tcBorders>
            <w:tcMar>
              <w:left w:w="108" w:type="dxa"/>
              <w:top w:w="0" w:type="dxa"/>
              <w:right w:w="108" w:type="dxa"/>
              <w:bottom w:w="0" w:type="dxa"/>
            </w:tcMar>
            <w:tcW w:w="4438"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ISEE non superiore a € 9.530,00 o ISEE non superiore € 20.000 per nuclei familiari con almeno 4 figli a carico</w:t>
            </w:r>
            <w:r/>
          </w:p>
        </w:tc>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4470"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20% (in aggiunta alla riduzione del 25% già disposta da ARERA)</w:t>
            </w:r>
            <w:r/>
          </w:p>
        </w:tc>
      </w:tr>
      <w:tr>
        <w:trPr/>
        <w:tc>
          <w:tcPr>
            <w:tcBorders>
              <w:top w:val="none" w:color="000000" w:sz="4" w:space="0"/>
              <w:left w:val="single" w:color="000000" w:sz="8" w:space="0"/>
              <w:bottom w:val="single" w:color="000000" w:sz="8" w:space="0"/>
              <w:right w:val="single" w:color="000000" w:sz="8" w:space="0"/>
            </w:tcBorders>
            <w:tcMar>
              <w:left w:w="108" w:type="dxa"/>
              <w:top w:w="0" w:type="dxa"/>
              <w:right w:w="108" w:type="dxa"/>
              <w:bottom w:w="0" w:type="dxa"/>
            </w:tcMar>
            <w:tcW w:w="4438"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ISEE da € 9.530,00 a € 20.000,00 (con numero di figli a carico inferiore a 4)</w:t>
            </w:r>
            <w:r/>
          </w:p>
        </w:tc>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4470"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25%</w:t>
            </w:r>
            <w:r/>
          </w:p>
        </w:tc>
      </w:tr>
      <w:tr>
        <w:trPr/>
        <w:tc>
          <w:tcPr>
            <w:tcBorders>
              <w:top w:val="none" w:color="000000" w:sz="4" w:space="0"/>
              <w:left w:val="single" w:color="000000" w:sz="8" w:space="0"/>
              <w:bottom w:val="single" w:color="000000" w:sz="8" w:space="0"/>
              <w:right w:val="single" w:color="000000" w:sz="8" w:space="0"/>
            </w:tcBorders>
            <w:tcMar>
              <w:left w:w="108" w:type="dxa"/>
              <w:top w:w="0" w:type="dxa"/>
              <w:right w:w="108" w:type="dxa"/>
              <w:bottom w:w="0" w:type="dxa"/>
            </w:tcMar>
            <w:tcW w:w="4438"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ISEE da € 20.001,00 a € 30.000,0</w:t>
            </w:r>
            <w:r/>
          </w:p>
        </w:tc>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4470"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20%</w:t>
            </w:r>
            <w:r/>
          </w:p>
        </w:tc>
      </w:tr>
      <w:tr>
        <w:trPr/>
        <w:tc>
          <w:tcPr>
            <w:tcBorders>
              <w:top w:val="none" w:color="000000" w:sz="4" w:space="0"/>
              <w:left w:val="single" w:color="000000" w:sz="8" w:space="0"/>
              <w:bottom w:val="single" w:color="000000" w:sz="8" w:space="0"/>
              <w:right w:val="single" w:color="000000" w:sz="8" w:space="0"/>
            </w:tcBorders>
            <w:tcMar>
              <w:left w:w="108" w:type="dxa"/>
              <w:top w:w="0" w:type="dxa"/>
              <w:right w:w="108" w:type="dxa"/>
              <w:bottom w:w="0" w:type="dxa"/>
            </w:tcMar>
            <w:tcW w:w="4438"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ISEE da € 30.001,00 a € 35.000,00</w:t>
            </w:r>
            <w:r/>
          </w:p>
        </w:tc>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4470"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15%</w:t>
            </w:r>
            <w:r/>
          </w:p>
        </w:tc>
      </w:tr>
    </w:tbl>
    <w:p>
      <w:pPr>
        <w:ind w:left="72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 </w:t>
      </w:r>
      <w:r/>
    </w:p>
    <w:p>
      <w:pPr>
        <w:ind w:left="72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i/>
          <w:color w:val="000000"/>
          <w:sz w:val="24"/>
        </w:rPr>
        <w:t xml:space="preserve">UTENZE NON DOMESTICHE</w:t>
      </w:r>
      <w:r/>
    </w:p>
    <w:p>
      <w:pPr>
        <w:ind w:left="72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i/>
          <w:color w:val="000000"/>
          <w:sz w:val="24"/>
        </w:rPr>
        <w:t xml:space="preserve"> </w:t>
      </w:r>
      <w:r/>
    </w:p>
    <w:tbl>
      <w:tblPr>
        <w:tblStyle w:val="736"/>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7"/>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CATEGORIA CON TARIFFA SUPERIORE A 9 €/MQ</w:t>
            </w: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b/>
                <w:color w:val="000000"/>
                <w:sz w:val="24"/>
              </w:rPr>
              <w:t xml:space="preserve">RIDUZIONE</w:t>
            </w:r>
            <w:r/>
          </w:p>
        </w:tc>
      </w:tr>
      <w:tr>
        <w:trPr/>
        <w:tc>
          <w:tcPr>
            <w:tcBorders>
              <w:top w:val="none" w:color="000000" w:sz="4" w:space="0"/>
              <w:left w:val="single" w:color="000000" w:sz="8"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22. Osterie, pizzerie, pub, ristoranti, trattorie</w:t>
            </w:r>
            <w:r/>
          </w:p>
        </w:tc>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10%</w:t>
            </w:r>
            <w:r/>
          </w:p>
        </w:tc>
      </w:tr>
      <w:tr>
        <w:trPr/>
        <w:tc>
          <w:tcPr>
            <w:tcBorders>
              <w:top w:val="none" w:color="000000" w:sz="4" w:space="0"/>
              <w:left w:val="single" w:color="000000" w:sz="8"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23. Birrerie, hamburgerie, mense</w:t>
            </w:r>
            <w:r/>
          </w:p>
        </w:tc>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10%</w:t>
            </w:r>
            <w:r/>
          </w:p>
        </w:tc>
      </w:tr>
      <w:tr>
        <w:trPr/>
        <w:tc>
          <w:tcPr>
            <w:tcBorders>
              <w:top w:val="none" w:color="000000" w:sz="4" w:space="0"/>
              <w:left w:val="single" w:color="000000" w:sz="8"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24. Bar, caffè, pasticceria</w:t>
            </w:r>
            <w:r/>
          </w:p>
        </w:tc>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10%</w:t>
            </w:r>
            <w:r/>
          </w:p>
        </w:tc>
      </w:tr>
      <w:tr>
        <w:trPr/>
        <w:tc>
          <w:tcPr>
            <w:tcBorders>
              <w:top w:val="none" w:color="000000" w:sz="4" w:space="0"/>
              <w:left w:val="single" w:color="000000" w:sz="8"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25. Supermercati, pane e pasta, macellerie, salumi e formaggi, generi alimentari</w:t>
            </w:r>
            <w:r/>
          </w:p>
        </w:tc>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10%</w:t>
            </w:r>
            <w:r/>
          </w:p>
        </w:tc>
      </w:tr>
      <w:tr>
        <w:trPr/>
        <w:tc>
          <w:tcPr>
            <w:tcBorders>
              <w:top w:val="none" w:color="000000" w:sz="4" w:space="0"/>
              <w:left w:val="single" w:color="000000" w:sz="8"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26. Plurilicenze alimentari e miste</w:t>
            </w:r>
            <w:r/>
          </w:p>
        </w:tc>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10%</w:t>
            </w:r>
            <w:r/>
          </w:p>
        </w:tc>
      </w:tr>
      <w:tr>
        <w:trPr/>
        <w:tc>
          <w:tcPr>
            <w:tcBorders>
              <w:top w:val="none" w:color="000000" w:sz="4" w:space="0"/>
              <w:left w:val="single" w:color="000000" w:sz="8"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27. Fiori e piante, ortofrutta, pescherie, pizza al taglio</w:t>
            </w:r>
            <w:r/>
          </w:p>
        </w:tc>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4677" w:type="dxa"/>
            <w:vAlign w:val="center"/>
            <w:textDirection w:val="lrTb"/>
            <w:noWrap w:val="false"/>
          </w:tcPr>
          <w:p>
            <w:pPr>
              <w:ind w:left="0" w:right="0" w:firstLine="0"/>
              <w:jc w:val="both"/>
              <w:spacing w:before="120" w:after="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10%</w:t>
            </w:r>
            <w:r/>
          </w:p>
        </w:tc>
      </w:tr>
    </w:tbl>
    <w:p>
      <w:pPr>
        <w:ind w:left="714" w:right="0" w:firstLine="0"/>
        <w:jc w:val="both"/>
        <w:spacing w:before="12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 </w:t>
      </w:r>
      <w:r/>
    </w:p>
    <w:p>
      <w:pPr>
        <w:numPr>
          <w:ilvl w:val="0"/>
          <w:numId w:val="1"/>
        </w:numPr>
        <w:jc w:val="both"/>
        <w:spacing w:before="12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di dare atto che sull’importo del tributo comunale sui rifiuti “TARI”, si applica il tributo provinciale per l’esercizio delle funzioni ambientali di cui all’art. 19 del Decreto Legislativo 30 dicembre 1992, n. 504, all’aliquota deliberata dalla Provincia </w:t>
      </w:r>
      <w:r>
        <w:rPr>
          <w:rFonts w:ascii="Liberation Serif" w:hAnsi="Liberation Serif" w:cs="Liberation Serif" w:eastAsia="Liberation Serif"/>
          <w:color w:val="000000"/>
          <w:sz w:val="24"/>
        </w:rPr>
        <w:t xml:space="preserve">(c.d. TEFA);</w:t>
      </w:r>
      <w:r/>
    </w:p>
    <w:p>
      <w:pPr>
        <w:numPr>
          <w:ilvl w:val="0"/>
          <w:numId w:val="1"/>
        </w:numPr>
        <w:jc w:val="both"/>
        <w:spacing w:before="12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di dare atto che alle tariffe TARI devono essere sommate le componenti perequative </w:t>
      </w:r>
      <w:r>
        <w:rPr>
          <w:rFonts w:ascii="Cambria Math" w:hAnsi="Cambria Math" w:cs="Cambria Math" w:eastAsia="Cambria Math"/>
          <w:color w:val="000000"/>
          <w:sz w:val="24"/>
        </w:rPr>
        <w:t xml:space="preserve">𝑈𝑅</w:t>
      </w:r>
      <w:r>
        <w:rPr>
          <w:rFonts w:ascii="Liberation Serif" w:hAnsi="Liberation Serif" w:cs="Liberation Serif" w:eastAsia="Liberation Serif"/>
          <w:color w:val="000000"/>
          <w:sz w:val="24"/>
        </w:rPr>
        <w:t xml:space="preserve">1,</w:t>
      </w:r>
      <w:r>
        <w:rPr>
          <w:rFonts w:ascii="Cambria Math" w:hAnsi="Cambria Math" w:cs="Cambria Math" w:eastAsia="Cambria Math"/>
          <w:color w:val="000000"/>
          <w:sz w:val="24"/>
        </w:rPr>
        <w:t xml:space="preserve">𝑎</w:t>
      </w:r>
      <w:r>
        <w:rPr>
          <w:rFonts w:ascii="Liberation Serif" w:hAnsi="Liberation Serif" w:cs="Liberation Serif" w:eastAsia="Liberation Serif"/>
          <w:color w:val="000000"/>
          <w:sz w:val="24"/>
        </w:rPr>
        <w:t xml:space="preserve"> e </w:t>
      </w:r>
      <w:r>
        <w:rPr>
          <w:rFonts w:ascii="Cambria Math" w:hAnsi="Cambria Math" w:cs="Cambria Math" w:eastAsia="Cambria Math"/>
          <w:color w:val="000000"/>
          <w:sz w:val="24"/>
        </w:rPr>
        <w:t xml:space="preserve">𝑈𝑅</w:t>
      </w:r>
      <w:r>
        <w:rPr>
          <w:rFonts w:ascii="Liberation Serif" w:hAnsi="Liberation Serif" w:cs="Liberation Serif" w:eastAsia="Liberation Serif"/>
          <w:color w:val="000000"/>
          <w:sz w:val="24"/>
        </w:rPr>
        <w:t xml:space="preserve">2,</w:t>
      </w:r>
      <w:r>
        <w:rPr>
          <w:rFonts w:ascii="Cambria Math" w:hAnsi="Cambria Math" w:cs="Cambria Math" w:eastAsia="Cambria Math"/>
          <w:color w:val="000000"/>
          <w:sz w:val="24"/>
        </w:rPr>
        <w:t xml:space="preserve">𝑎</w:t>
      </w:r>
      <w:r>
        <w:rPr>
          <w:rFonts w:ascii="Liberation Serif" w:hAnsi="Liberation Serif" w:cs="Liberation Serif" w:eastAsia="Liberation Serif"/>
          <w:color w:val="000000"/>
          <w:sz w:val="24"/>
        </w:rPr>
        <w:t xml:space="preserve"> e </w:t>
      </w:r>
      <w:r>
        <w:rPr>
          <w:rFonts w:ascii="Cambria Math" w:hAnsi="Cambria Math" w:cs="Cambria Math" w:eastAsia="Cambria Math"/>
          <w:color w:val="000000"/>
          <w:sz w:val="24"/>
        </w:rPr>
        <w:t xml:space="preserve">𝑈𝑅</w:t>
      </w:r>
      <w:r>
        <w:rPr>
          <w:rFonts w:ascii="Liberation Serif" w:hAnsi="Liberation Serif" w:cs="Liberation Serif" w:eastAsia="Liberation Serif"/>
          <w:color w:val="000000"/>
          <w:sz w:val="24"/>
        </w:rPr>
        <w:t xml:space="preserve">3,</w:t>
      </w:r>
      <w:r>
        <w:rPr>
          <w:rFonts w:ascii="Cambria Math" w:hAnsi="Cambria Math" w:cs="Cambria Math" w:eastAsia="Cambria Math"/>
          <w:color w:val="000000"/>
          <w:sz w:val="24"/>
        </w:rPr>
        <w:t xml:space="preserve">𝑎</w:t>
      </w:r>
      <w:r>
        <w:rPr>
          <w:rFonts w:ascii="Liberation Serif" w:hAnsi="Liberation Serif" w:cs="Liberation Serif" w:eastAsia="Liberation Serif"/>
          <w:color w:val="000000"/>
          <w:sz w:val="24"/>
        </w:rPr>
        <w:t xml:space="preserve"> pari rispettivamente ad € 0,10 ad utenza per anno, ad € 1,50 ad utenza per anno e ad € 6,00 ad utenza per anno;</w:t>
      </w:r>
      <w:r/>
    </w:p>
    <w:p>
      <w:pPr>
        <w:numPr>
          <w:ilvl w:val="0"/>
          <w:numId w:val="1"/>
        </w:numPr>
        <w:jc w:val="both"/>
        <w:spacing w:before="12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di dare atto che le tariffe approvate con il presente atto deliberativo hanno effetto dal 1° gennaio 2026;</w:t>
      </w:r>
      <w:r/>
    </w:p>
    <w:p>
      <w:pPr>
        <w:numPr>
          <w:ilvl w:val="0"/>
          <w:numId w:val="1"/>
        </w:numPr>
        <w:jc w:val="both"/>
        <w:spacing w:before="12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di trasmettere copia della presente deliberazione tariffaria al Ministero dell’Economia e delle Finanze, Dipartimento delle Finanze, con le modalità ed entro i termini previsti dall’art. 13, commi 15 e 15-ter, del D.L. n. 201/2011 e s.m.i.;</w:t>
      </w:r>
      <w:r/>
    </w:p>
    <w:p>
      <w:pPr>
        <w:numPr>
          <w:ilvl w:val="0"/>
          <w:numId w:val="1"/>
        </w:numPr>
        <w:jc w:val="both"/>
        <w:spacing w:before="120" w:after="12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di trasmettere la presente deliberazione all’ATA Ancona e all’Astea Spa per gli adempimenti di competenza;</w:t>
      </w:r>
      <w:r/>
    </w:p>
    <w:p>
      <w:pPr>
        <w:numPr>
          <w:ilvl w:val="0"/>
          <w:numId w:val="1"/>
        </w:numPr>
        <w:jc w:val="both"/>
        <w:spacing w:before="120" w:after="120"/>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4"/>
        </w:rPr>
        <w:t xml:space="preserve">Di dichiarare la presente immediatamente eseguibile ai sensi comma 4 dell'art. 134 del D.Lgs. n. 267/2000.</w:t>
      </w:r>
      <w:r/>
    </w:p>
    <w:p>
      <w:pPr>
        <w:ind w:left="0" w:right="0" w:firstLine="0"/>
        <w:spacing w:before="0" w:after="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 </w:t>
      </w:r>
      <w:r/>
    </w:p>
    <w:p>
      <w:pPr>
        <w:ind w:left="0" w:right="0" w:firstLine="0"/>
        <w:spacing w:before="0" w:after="0"/>
        <w:pBdr>
          <w:top w:val="none" w:color="000000" w:sz="4" w:space="0"/>
          <w:left w:val="none" w:color="000000" w:sz="4" w:space="0"/>
          <w:bottom w:val="none" w:color="000000" w:sz="4" w:space="0"/>
          <w:right w:val="none" w:color="000000" w:sz="4" w:space="0"/>
        </w:pBdr>
      </w:pPr>
      <w:r>
        <w:rPr>
          <w:rFonts w:ascii="Liberation Serif" w:hAnsi="Liberation Serif" w:cs="Liberation Serif" w:eastAsia="Liberation Serif"/>
          <w:color w:val="000000"/>
          <w:sz w:val="24"/>
        </w:rPr>
        <w:t xml:space="preserve"> </w:t>
      </w:r>
      <w:r/>
    </w:p>
    <w:p>
      <w:pPr>
        <w:jc w:val="center"/>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jc w:val="center"/>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jc w:val="center"/>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jc w:val="center"/>
      </w:pPr>
      <w:r>
        <w:rPr>
          <w:rFonts w:ascii="Arial" w:hAnsi="Arial" w:cs="Arial" w:eastAsia="Arial"/>
          <w:b/>
          <w:sz w:val="24"/>
          <w:highlight w:val="none"/>
        </w:rPr>
      </w:r>
      <w:r>
        <w:rPr>
          <w:rFonts w:ascii="Arial" w:hAnsi="Arial" w:cs="Arial" w:eastAsia="Arial"/>
          <w:b/>
          <w:sz w:val="24"/>
          <w:highlight w:val="none"/>
        </w:rPr>
      </w:r>
      <w:r/>
    </w:p>
    <w:p>
      <w:pPr>
        <w:jc w:val="center"/>
      </w:pPr>
      <w:r>
        <w:rPr>
          <w:rFonts w:ascii="Arial" w:hAnsi="Arial" w:cs="Arial" w:eastAsia="Arial"/>
          <w:b/>
          <w:sz w:val="24"/>
          <w:highlight w:val="none"/>
        </w:rPr>
        <w:t xml:space="preserve">***</w:t>
      </w:r>
      <w:r>
        <w:rPr>
          <w:rFonts w:ascii="Arial" w:hAnsi="Arial" w:cs="Arial" w:eastAsia="Arial"/>
          <w:b/>
          <w:sz w:val="24"/>
          <w:highlight w:val="none"/>
        </w:rPr>
      </w:r>
      <w:r/>
    </w:p>
    <w:p>
      <w:pPr>
        <w:jc w:val="left"/>
        <w:rPr>
          <w:bCs/>
          <w:i/>
          <w:sz w:val="20"/>
          <w:szCs w:val="20"/>
        </w:rPr>
      </w:pPr>
      <w:r>
        <w:rPr>
          <w:rFonts w:ascii="Arial" w:hAnsi="Arial" w:cs="Arial" w:eastAsia="Arial"/>
          <w:b/>
          <w:i/>
          <w:iCs/>
          <w:sz w:val="20"/>
          <w:szCs w:val="20"/>
          <w:highlight w:val="none"/>
        </w:rPr>
        <w:t xml:space="preserve">A</w:t>
      </w:r>
      <w:r>
        <w:rPr>
          <w:rFonts w:ascii="Arial" w:hAnsi="Arial" w:cs="Arial" w:eastAsia="Arial"/>
          <w:b/>
          <w:i/>
          <w:iCs/>
          <w:sz w:val="20"/>
          <w:szCs w:val="20"/>
          <w:highlight w:val="none"/>
        </w:rPr>
        <w:t xml:space="preserve">i sensi dell’art.35 del Regolamento del Consiglio Comunale, le sedute pubbliche del Consiglio Comunale vengono riprese e trasmesse via web e sono integralmente registrate su supporto digitale. Dette registrazioni sono consultabili attraverso il sito Intern</w:t>
      </w:r>
      <w:r>
        <w:rPr>
          <w:rFonts w:ascii="Arial" w:hAnsi="Arial" w:cs="Arial" w:eastAsia="Arial"/>
          <w:b/>
          <w:i/>
          <w:iCs/>
          <w:sz w:val="20"/>
          <w:szCs w:val="20"/>
          <w:highlight w:val="none"/>
        </w:rPr>
        <w:t xml:space="preserve">et del Comune.</w:t>
      </w:r>
      <w:r>
        <w:rPr>
          <w:bCs/>
          <w:i/>
          <w:sz w:val="20"/>
          <w:szCs w:val="20"/>
        </w:rPr>
      </w:r>
      <w:r/>
    </w:p>
    <w:p>
      <w:pPr>
        <w:jc w:val="center"/>
        <w:rPr>
          <w:rFonts w:ascii="Arial" w:hAnsi="Arial" w:cs="Arial" w:eastAsia="Arial"/>
          <w:b/>
          <w:bCs/>
          <w:sz w:val="24"/>
          <w:szCs w:val="24"/>
          <w:highlight w:val="none"/>
        </w:rPr>
      </w:pPr>
      <w:r>
        <w:rPr>
          <w:rFonts w:ascii="Arial" w:hAnsi="Arial" w:cs="Arial" w:eastAsia="Arial"/>
          <w:b/>
          <w:sz w:val="24"/>
          <w:highlight w:val="none"/>
        </w:rPr>
        <w:t xml:space="preserve">***</w:t>
      </w:r>
      <w:r>
        <w:rPr>
          <w:rFonts w:ascii="Arial" w:hAnsi="Arial" w:cs="Arial" w:eastAsia="Arial"/>
          <w:b/>
          <w:bCs/>
          <w:sz w:val="24"/>
          <w:szCs w:val="24"/>
          <w:highlight w:val="none"/>
        </w:rPr>
      </w:r>
      <w:r/>
    </w:p>
    <w:sectPr>
      <w:headerReference w:type="default" r:id="rId9"/>
      <w:footerReference w:type="default" r:id="rId10"/>
      <w:footnotePr/>
      <w:endnotePr/>
      <w:type w:val="nextPage"/>
      <w:pgSz w:w="11906" w:h="16838" w:orient="portrait"/>
      <w:pgMar w:top="1134" w:right="1134" w:bottom="1134" w:left="1134" w:header="0"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Times New Roman">
    <w:panose1 w:val="02020603050405020304"/>
  </w:font>
  <w:font w:name="Arial">
    <w:panose1 w:val="020B0604020202020204"/>
  </w:font>
  <w:font w:name="SimSun">
    <w:panose1 w:val="02020603020101020101"/>
  </w:font>
  <w:font w:name="Mangal">
    <w:panose1 w:val="02020603050405020304"/>
  </w:font>
  <w:font w:name="Cambria Math">
    <w:panose1 w:val="02000603000000000000"/>
  </w:font>
  <w:font w:name="Liberation Serif">
    <w:panose1 w:val="02020603050405020304"/>
  </w:font>
  <w:font w:name="Calibri">
    <w:panose1 w:val="020F05020202040302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Arial" w:hAnsi="Arial" w:cs="Arial" w:eastAsia="Arial"/>
        <w:color w:val="000000"/>
        <w:sz w:val="18"/>
        <w:highlight w:val="none"/>
      </w:rPr>
    </w:r>
    <w:r/>
  </w:p>
  <w:p>
    <w:pPr>
      <w:ind w:left="0" w:right="0" w:firstLine="0"/>
      <w:jc w:val="left"/>
      <w:spacing w:before="0" w:after="0"/>
      <w:rPr>
        <w:rFonts w:ascii="Arial" w:hAnsi="Arial" w:cs="Arial" w:eastAsia="Arial"/>
        <w:color w:val="000000"/>
        <w:highlight w:val="none"/>
      </w:rPr>
      <w:pBdr>
        <w:top w:val="none" w:color="000000" w:sz="4" w:space="0"/>
        <w:left w:val="none" w:color="000000" w:sz="4" w:space="0"/>
        <w:bottom w:val="none" w:color="000000" w:sz="4" w:space="0"/>
        <w:right w:val="none" w:color="000000" w:sz="4" w:space="0"/>
      </w:pBdr>
    </w:pPr>
    <w:r>
      <w:rPr>
        <w:rFonts w:ascii="Arial" w:hAnsi="Arial" w:cs="Arial" w:eastAsia="Arial"/>
        <w:color w:val="000000"/>
        <w:sz w:val="18"/>
      </w:rPr>
      <w:t xml:space="preserve">Proposta di </w:t>
    </w:r>
    <w:r>
      <w:rPr>
        <w:rFonts w:ascii="Arial" w:hAnsi="Arial" w:cs="Arial" w:eastAsia="Arial"/>
        <w:color w:val="000000"/>
        <w:sz w:val="18"/>
      </w:rPr>
      <w:t xml:space="preserve">Delibera di Consiglio</w:t>
    </w:r>
    <w:r>
      <w:rPr>
        <w:rFonts w:ascii="Arial" w:hAnsi="Arial" w:cs="Arial" w:eastAsia="Arial"/>
        <w:color w:val="000000"/>
        <w:sz w:val="18"/>
      </w:rPr>
      <w:t xml:space="preserve"> n. 862 del 21/07/2026</w:t>
    </w:r>
    <w:r>
      <w:rPr>
        <w:rFonts w:ascii="Arial" w:hAnsi="Arial" w:cs="Arial" w:eastAsia="Arial"/>
        <w:color w:val="000000"/>
        <w:highlight w:val="none"/>
      </w:rPr>
    </w:r>
    <w:r/>
  </w:p>
  <w:p>
    <w:pPr>
      <w:pStyle w:val="733"/>
      <w:jc w:val="right"/>
      <w:rPr>
        <w:rFonts w:ascii="Arial" w:hAnsi="Arial" w:cs="Arial" w:eastAsia="Arial"/>
        <w:highlight w:val="none"/>
      </w:rPr>
    </w:pPr>
    <w:r>
      <w:rPr>
        <w:rFonts w:ascii="Arial" w:hAnsi="Arial" w:cs="Arial" w:eastAsia="Arial"/>
        <w:sz w:val="18"/>
      </w:rPr>
      <w:t xml:space="preserve">Pag. </w:t>
    </w:r>
    <w:fldSimple w:instr="PAGE \* MERGEFORMAT">
      <w:r>
        <w:rPr>
          <w:rFonts w:ascii="Arial" w:hAnsi="Arial" w:cs="Arial" w:eastAsia="Arial"/>
          <w:sz w:val="18"/>
        </w:rPr>
        <w:t xml:space="preserve">1</w:t>
      </w:r>
    </w:fldSimple>
    <w:r>
      <w:rPr>
        <w:rFonts w:ascii="Arial" w:hAnsi="Arial" w:cs="Arial" w:eastAsia="Arial"/>
        <w:sz w:val="18"/>
      </w:rPr>
    </w:r>
    <w:r>
      <w:rPr>
        <w:rFonts w:ascii="Arial" w:hAnsi="Arial" w:cs="Arial" w:eastAsia="Arial"/>
        <w:highlight w:val="none"/>
      </w:rPr>
    </w:r>
    <w:r/>
  </w:p>
  <w:p>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31"/>
    </w:pPr>
    <w:r/>
    <w:r/>
  </w:p>
  <w:p>
    <w:r>
      <w:rPr>
        <w:rFonts w:ascii="Times New Roman" w:hAnsi="Times New Roman" w:cs="Times New Roman" w:eastAsia="Times New Roman"/>
        <w:lang w:bidi="ar-SA" w:eastAsia="it-IT"/>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-226695</wp:posOffset>
              </wp:positionH>
              <wp:positionV relativeFrom="paragraph">
                <wp:posOffset>-144145</wp:posOffset>
              </wp:positionV>
              <wp:extent cx="1444625" cy="1776730"/>
              <wp:effectExtent l="0" t="0" r="0" b="0"/>
              <wp:wrapNone/>
              <wp:docPr id="1" name="Immagine 1" descr="logo1"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80020" name="Immagine 1" descr="logo1" hidden="0"/>
                      <pic:cNvPicPr>
                        <a:picLocks noChangeAspect="1"/>
                      </pic:cNvPicPr>
                      <pic:nvPr isPhoto="0" userDrawn="0"/>
                    </pic:nvPicPr>
                    <pic:blipFill>
                      <a:blip r:embed="rId1"/>
                      <a:stretch/>
                    </pic:blipFill>
                    <pic:spPr bwMode="auto">
                      <a:xfrm rot="0" flipH="0" flipV="0">
                        <a:off x="0" y="0"/>
                        <a:ext cx="1444624" cy="1776729"/>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9264;o:allowoverlap:true;o:allowincell:true;mso-position-horizontal-relative:text;margin-left:-17.8pt;mso-position-horizontal:absolute;mso-position-vertical-relative:text;margin-top:-11.3pt;mso-position-vertical:absolute;width:113.8pt;height:139.9pt;rotation:0;" stroked="false">
              <v:path textboxrect="0,0,0,0"/>
              <v:imagedata r:id="rId1" o:title=""/>
            </v:shape>
          </w:pict>
        </mc:Fallback>
      </mc:AlternateContent>
    </w:r>
    <w:r/>
  </w:p>
  <w:p>
    <w:pPr>
      <w:pStyle w:val="775"/>
    </w:pPr>
    <w:r/>
    <w:r/>
  </w:p>
  <w:p>
    <w:r/>
    <w:r/>
  </w:p>
  <w:p>
    <w:r/>
    <w:r/>
  </w:p>
  <w:p>
    <w:r/>
    <w:r/>
  </w:p>
  <w:p>
    <w:r/>
    <w:r/>
  </w:p>
  <w:p>
    <w: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hAnsi="Liberation Serif" w:cs="Mangal" w:eastAsia="SimSun" w:hint="default"/>
        <w:sz w:val="24"/>
        <w:szCs w:val="24"/>
        <w:lang w:val="it-IT" w:bidi="hi-IN" w:eastAsia="zh-C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
    <w:name w:val="Normal"/>
    <w:qFormat/>
  </w:style>
  <w:style w:type="character" w:styleId="9">
    <w:name w:val="Default Paragraph Font"/>
    <w:uiPriority w:val="1"/>
    <w:semiHidden/>
    <w:unhideWhenUsed/>
  </w:style>
  <w:style w:type="numbering" w:styleId="10">
    <w:name w:val="No List"/>
    <w:uiPriority w:val="99"/>
    <w:semiHidden/>
    <w:unhideWhenUsed/>
  </w:style>
  <w:style w:type="paragraph" w:styleId="11">
    <w:name w:val="Heading 1"/>
    <w:basedOn w:val="8"/>
    <w:next w:val="8"/>
    <w:link w:val="12"/>
    <w:uiPriority w:val="9"/>
    <w:qFormat/>
    <w:pPr>
      <w:keepLines/>
      <w:keepNext/>
      <w:spacing w:before="480" w:after="200"/>
      <w:outlineLvl w:val="0"/>
    </w:pPr>
    <w:rPr>
      <w:rFonts w:ascii="Arial" w:hAnsi="Arial" w:cs="Arial" w:eastAsia="Arial"/>
      <w:sz w:val="40"/>
      <w:szCs w:val="40"/>
    </w:rPr>
  </w:style>
  <w:style w:type="character" w:styleId="12">
    <w:name w:val="Heading 1 Char"/>
    <w:basedOn w:val="9"/>
    <w:link w:val="11"/>
    <w:uiPriority w:val="9"/>
    <w:rPr>
      <w:rFonts w:ascii="Arial" w:hAnsi="Arial" w:cs="Arial" w:eastAsia="Arial"/>
      <w:sz w:val="40"/>
      <w:szCs w:val="40"/>
    </w:rPr>
  </w:style>
  <w:style w:type="paragraph" w:styleId="13">
    <w:name w:val="Heading 2"/>
    <w:basedOn w:val="8"/>
    <w:next w:val="8"/>
    <w:link w:val="14"/>
    <w:uiPriority w:val="9"/>
    <w:unhideWhenUsed/>
    <w:qFormat/>
    <w:pPr>
      <w:keepLines/>
      <w:keepNext/>
      <w:spacing w:before="360" w:after="200"/>
      <w:outlineLvl w:val="1"/>
    </w:pPr>
    <w:rPr>
      <w:rFonts w:ascii="Arial" w:hAnsi="Arial" w:cs="Arial" w:eastAsia="Arial"/>
      <w:sz w:val="34"/>
    </w:rPr>
  </w:style>
  <w:style w:type="character" w:styleId="14">
    <w:name w:val="Heading 2 Char"/>
    <w:basedOn w:val="9"/>
    <w:link w:val="13"/>
    <w:uiPriority w:val="9"/>
    <w:rPr>
      <w:rFonts w:ascii="Arial" w:hAnsi="Arial" w:cs="Arial" w:eastAsia="Arial"/>
      <w:sz w:val="34"/>
    </w:rPr>
  </w:style>
  <w:style w:type="paragraph" w:styleId="15">
    <w:name w:val="Heading 3"/>
    <w:basedOn w:val="8"/>
    <w:next w:val="8"/>
    <w:link w:val="16"/>
    <w:uiPriority w:val="9"/>
    <w:unhideWhenUsed/>
    <w:qFormat/>
    <w:pPr>
      <w:keepLines/>
      <w:keepNext/>
      <w:spacing w:before="320" w:after="200"/>
      <w:outlineLvl w:val="2"/>
    </w:pPr>
    <w:rPr>
      <w:rFonts w:ascii="Arial" w:hAnsi="Arial" w:cs="Arial" w:eastAsia="Arial"/>
      <w:sz w:val="30"/>
      <w:szCs w:val="30"/>
    </w:rPr>
  </w:style>
  <w:style w:type="character" w:styleId="16">
    <w:name w:val="Heading 3 Char"/>
    <w:basedOn w:val="9"/>
    <w:link w:val="15"/>
    <w:uiPriority w:val="9"/>
    <w:rPr>
      <w:rFonts w:ascii="Arial" w:hAnsi="Arial" w:cs="Arial" w:eastAsia="Arial"/>
      <w:sz w:val="30"/>
      <w:szCs w:val="30"/>
    </w:rPr>
  </w:style>
  <w:style w:type="paragraph" w:styleId="17">
    <w:name w:val="Heading 4"/>
    <w:basedOn w:val="8"/>
    <w:next w:val="8"/>
    <w:link w:val="18"/>
    <w:uiPriority w:val="9"/>
    <w:unhideWhenUsed/>
    <w:qFormat/>
    <w:pPr>
      <w:keepLines/>
      <w:keepNext/>
      <w:spacing w:before="320" w:after="200"/>
      <w:outlineLvl w:val="3"/>
    </w:pPr>
    <w:rPr>
      <w:rFonts w:ascii="Arial" w:hAnsi="Arial" w:cs="Arial" w:eastAsia="Arial"/>
      <w:b/>
      <w:bCs/>
      <w:sz w:val="26"/>
      <w:szCs w:val="26"/>
    </w:rPr>
  </w:style>
  <w:style w:type="character" w:styleId="18">
    <w:name w:val="Heading 4 Char"/>
    <w:basedOn w:val="9"/>
    <w:link w:val="17"/>
    <w:uiPriority w:val="9"/>
    <w:rPr>
      <w:rFonts w:ascii="Arial" w:hAnsi="Arial" w:cs="Arial" w:eastAsia="Arial"/>
      <w:b/>
      <w:bCs/>
      <w:sz w:val="26"/>
      <w:szCs w:val="26"/>
    </w:rPr>
  </w:style>
  <w:style w:type="paragraph" w:styleId="19">
    <w:name w:val="Heading 5"/>
    <w:basedOn w:val="8"/>
    <w:next w:val="8"/>
    <w:link w:val="20"/>
    <w:uiPriority w:val="9"/>
    <w:unhideWhenUsed/>
    <w:qFormat/>
    <w:pPr>
      <w:keepLines/>
      <w:keepNext/>
      <w:spacing w:before="320" w:after="200"/>
      <w:outlineLvl w:val="4"/>
    </w:pPr>
    <w:rPr>
      <w:rFonts w:ascii="Arial" w:hAnsi="Arial" w:cs="Arial" w:eastAsia="Arial"/>
      <w:b/>
      <w:bCs/>
      <w:sz w:val="24"/>
      <w:szCs w:val="24"/>
    </w:rPr>
  </w:style>
  <w:style w:type="character" w:styleId="20">
    <w:name w:val="Heading 5 Char"/>
    <w:basedOn w:val="9"/>
    <w:link w:val="19"/>
    <w:uiPriority w:val="9"/>
    <w:rPr>
      <w:rFonts w:ascii="Arial" w:hAnsi="Arial" w:cs="Arial" w:eastAsia="Arial"/>
      <w:b/>
      <w:bCs/>
      <w:sz w:val="24"/>
      <w:szCs w:val="24"/>
    </w:rPr>
  </w:style>
  <w:style w:type="paragraph" w:styleId="21">
    <w:name w:val="Heading 6"/>
    <w:basedOn w:val="8"/>
    <w:next w:val="8"/>
    <w:link w:val="22"/>
    <w:uiPriority w:val="9"/>
    <w:unhideWhenUsed/>
    <w:qFormat/>
    <w:pPr>
      <w:keepLines/>
      <w:keepNext/>
      <w:spacing w:before="320" w:after="200"/>
      <w:outlineLvl w:val="5"/>
    </w:pPr>
    <w:rPr>
      <w:rFonts w:ascii="Arial" w:hAnsi="Arial" w:cs="Arial" w:eastAsia="Arial"/>
      <w:b/>
      <w:bCs/>
      <w:sz w:val="22"/>
      <w:szCs w:val="22"/>
    </w:rPr>
  </w:style>
  <w:style w:type="character" w:styleId="22">
    <w:name w:val="Heading 6 Char"/>
    <w:basedOn w:val="9"/>
    <w:link w:val="21"/>
    <w:uiPriority w:val="9"/>
    <w:rPr>
      <w:rFonts w:ascii="Arial" w:hAnsi="Arial" w:cs="Arial" w:eastAsia="Arial"/>
      <w:b/>
      <w:bCs/>
      <w:sz w:val="22"/>
      <w:szCs w:val="22"/>
    </w:rPr>
  </w:style>
  <w:style w:type="paragraph" w:styleId="23">
    <w:name w:val="Heading 7"/>
    <w:basedOn w:val="8"/>
    <w:next w:val="8"/>
    <w:link w:val="24"/>
    <w:uiPriority w:val="9"/>
    <w:unhideWhenUsed/>
    <w:qFormat/>
    <w:pPr>
      <w:keepLines/>
      <w:keepNext/>
      <w:spacing w:before="320" w:after="200"/>
      <w:outlineLvl w:val="6"/>
    </w:pPr>
    <w:rPr>
      <w:rFonts w:ascii="Arial" w:hAnsi="Arial" w:cs="Arial" w:eastAsia="Arial"/>
      <w:b/>
      <w:bCs/>
      <w:i/>
      <w:iCs/>
      <w:sz w:val="22"/>
      <w:szCs w:val="22"/>
    </w:rPr>
  </w:style>
  <w:style w:type="character" w:styleId="24">
    <w:name w:val="Heading 7 Char"/>
    <w:basedOn w:val="9"/>
    <w:link w:val="23"/>
    <w:uiPriority w:val="9"/>
    <w:rPr>
      <w:rFonts w:ascii="Arial" w:hAnsi="Arial" w:cs="Arial" w:eastAsia="Arial"/>
      <w:b/>
      <w:bCs/>
      <w:i/>
      <w:iCs/>
      <w:sz w:val="22"/>
      <w:szCs w:val="22"/>
    </w:rPr>
  </w:style>
  <w:style w:type="paragraph" w:styleId="25">
    <w:name w:val="Heading 8"/>
    <w:basedOn w:val="8"/>
    <w:next w:val="8"/>
    <w:link w:val="26"/>
    <w:uiPriority w:val="9"/>
    <w:unhideWhenUsed/>
    <w:qFormat/>
    <w:pPr>
      <w:keepLines/>
      <w:keepNext/>
      <w:spacing w:before="320" w:after="200"/>
      <w:outlineLvl w:val="7"/>
    </w:pPr>
    <w:rPr>
      <w:rFonts w:ascii="Arial" w:hAnsi="Arial" w:cs="Arial" w:eastAsia="Arial"/>
      <w:i/>
      <w:iCs/>
      <w:sz w:val="22"/>
      <w:szCs w:val="22"/>
    </w:rPr>
  </w:style>
  <w:style w:type="character" w:styleId="26">
    <w:name w:val="Heading 8 Char"/>
    <w:basedOn w:val="9"/>
    <w:link w:val="25"/>
    <w:uiPriority w:val="9"/>
    <w:rPr>
      <w:rFonts w:ascii="Arial" w:hAnsi="Arial" w:cs="Arial" w:eastAsia="Arial"/>
      <w:i/>
      <w:iCs/>
      <w:sz w:val="22"/>
      <w:szCs w:val="22"/>
    </w:rPr>
  </w:style>
  <w:style w:type="paragraph" w:styleId="27">
    <w:name w:val="Heading 9"/>
    <w:basedOn w:val="8"/>
    <w:next w:val="8"/>
    <w:link w:val="28"/>
    <w:uiPriority w:val="9"/>
    <w:unhideWhenUsed/>
    <w:qFormat/>
    <w:pPr>
      <w:keepLines/>
      <w:keepNext/>
      <w:spacing w:before="320" w:after="200"/>
      <w:outlineLvl w:val="8"/>
    </w:pPr>
    <w:rPr>
      <w:rFonts w:ascii="Arial" w:hAnsi="Arial" w:cs="Arial" w:eastAsia="Arial"/>
      <w:i/>
      <w:iCs/>
      <w:sz w:val="21"/>
      <w:szCs w:val="21"/>
    </w:rPr>
  </w:style>
  <w:style w:type="character" w:styleId="28">
    <w:name w:val="Heading 9 Char"/>
    <w:basedOn w:val="9"/>
    <w:link w:val="27"/>
    <w:uiPriority w:val="9"/>
    <w:rPr>
      <w:rFonts w:ascii="Arial" w:hAnsi="Arial" w:cs="Arial" w:eastAsia="Arial"/>
      <w:i/>
      <w:iCs/>
      <w:sz w:val="21"/>
      <w:szCs w:val="21"/>
    </w:rPr>
  </w:style>
  <w:style w:type="paragraph" w:styleId="29">
    <w:name w:val="List Paragraph"/>
    <w:basedOn w:val="8"/>
    <w:uiPriority w:val="34"/>
    <w:qFormat/>
    <w:pPr>
      <w:contextualSpacing/>
      <w:ind w:left="720"/>
    </w:pPr>
  </w:style>
  <w:style w:type="table" w:styleId="30">
    <w:name w:val="Normal Table"/>
    <w:uiPriority w:val="99"/>
    <w:semiHidden/>
    <w:unhideWhenUsed/>
    <w:tblPr>
      <w:tblInd w:w="0" w:type="dxa"/>
      <w:tblCellMar>
        <w:left w:w="108" w:type="dxa"/>
        <w:top w:w="0" w:type="dxa"/>
        <w:right w:w="108" w:type="dxa"/>
        <w:bottom w:w="0" w:type="dxa"/>
      </w:tblCellMar>
    </w:tblPr>
  </w:style>
  <w:style w:type="paragraph" w:styleId="31">
    <w:name w:val="No Spacing"/>
    <w:uiPriority w:val="1"/>
    <w:qFormat/>
    <w:pPr>
      <w:spacing w:before="0" w:after="0" w:line="240" w:lineRule="auto"/>
    </w:pPr>
  </w:style>
  <w:style w:type="paragraph" w:styleId="32">
    <w:name w:val="Title"/>
    <w:basedOn w:val="8"/>
    <w:next w:val="8"/>
    <w:link w:val="33"/>
    <w:uiPriority w:val="10"/>
    <w:qFormat/>
    <w:pPr>
      <w:contextualSpacing/>
      <w:spacing w:before="300" w:after="200"/>
    </w:pPr>
    <w:rPr>
      <w:sz w:val="48"/>
      <w:szCs w:val="48"/>
    </w:rPr>
  </w:style>
  <w:style w:type="character" w:styleId="33">
    <w:name w:val="Title Char"/>
    <w:basedOn w:val="9"/>
    <w:link w:val="32"/>
    <w:uiPriority w:val="10"/>
    <w:rPr>
      <w:sz w:val="48"/>
      <w:szCs w:val="48"/>
    </w:rPr>
  </w:style>
  <w:style w:type="paragraph" w:styleId="34">
    <w:name w:val="Subtitle"/>
    <w:basedOn w:val="8"/>
    <w:next w:val="8"/>
    <w:link w:val="35"/>
    <w:uiPriority w:val="11"/>
    <w:qFormat/>
    <w:pPr>
      <w:spacing w:before="200" w:after="200"/>
    </w:pPr>
    <w:rPr>
      <w:sz w:val="24"/>
      <w:szCs w:val="24"/>
    </w:rPr>
  </w:style>
  <w:style w:type="character" w:styleId="35">
    <w:name w:val="Subtitle Char"/>
    <w:basedOn w:val="9"/>
    <w:link w:val="34"/>
    <w:uiPriority w:val="11"/>
    <w:rPr>
      <w:sz w:val="24"/>
      <w:szCs w:val="24"/>
    </w:rPr>
  </w:style>
  <w:style w:type="paragraph" w:styleId="36">
    <w:name w:val="Quote"/>
    <w:basedOn w:val="8"/>
    <w:next w:val="8"/>
    <w:link w:val="37"/>
    <w:uiPriority w:val="29"/>
    <w:qFormat/>
    <w:pPr>
      <w:ind w:left="720" w:right="720"/>
    </w:pPr>
    <w:rPr>
      <w:i/>
    </w:rPr>
  </w:style>
  <w:style w:type="character" w:styleId="37">
    <w:name w:val="Quote Char"/>
    <w:link w:val="36"/>
    <w:uiPriority w:val="29"/>
    <w:rPr>
      <w:i/>
    </w:rPr>
  </w:style>
  <w:style w:type="paragraph" w:styleId="38">
    <w:name w:val="Intense Quote"/>
    <w:basedOn w:val="8"/>
    <w:next w:val="8"/>
    <w:link w:val="3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39">
    <w:name w:val="Intense Quote Char"/>
    <w:link w:val="38"/>
    <w:uiPriority w:val="30"/>
    <w:rPr>
      <w:i/>
    </w:rPr>
  </w:style>
  <w:style w:type="paragraph" w:styleId="40">
    <w:name w:val="Header"/>
    <w:basedOn w:val="8"/>
    <w:link w:val="41"/>
    <w:uiPriority w:val="99"/>
    <w:unhideWhenUsed/>
    <w:pPr>
      <w:spacing w:after="0" w:line="240" w:lineRule="auto"/>
      <w:tabs>
        <w:tab w:val="center" w:pos="7143" w:leader="none"/>
        <w:tab w:val="right" w:pos="14287" w:leader="none"/>
      </w:tabs>
    </w:pPr>
  </w:style>
  <w:style w:type="character" w:styleId="41">
    <w:name w:val="Header Char"/>
    <w:basedOn w:val="9"/>
    <w:link w:val="40"/>
    <w:uiPriority w:val="99"/>
  </w:style>
  <w:style w:type="paragraph" w:styleId="42">
    <w:name w:val="Footer"/>
    <w:basedOn w:val="8"/>
    <w:link w:val="45"/>
    <w:uiPriority w:val="99"/>
    <w:unhideWhenUsed/>
    <w:pPr>
      <w:spacing w:after="0" w:line="240" w:lineRule="auto"/>
      <w:tabs>
        <w:tab w:val="center" w:pos="7143" w:leader="none"/>
        <w:tab w:val="right" w:pos="14287" w:leader="none"/>
      </w:tabs>
    </w:pPr>
  </w:style>
  <w:style w:type="character" w:styleId="43">
    <w:name w:val="Footer Char"/>
    <w:basedOn w:val="9"/>
    <w:link w:val="42"/>
    <w:uiPriority w:val="99"/>
  </w:style>
  <w:style w:type="paragraph" w:styleId="44">
    <w:name w:val="Caption"/>
    <w:basedOn w:val="8"/>
    <w:next w:val="8"/>
    <w:uiPriority w:val="35"/>
    <w:semiHidden/>
    <w:unhideWhenUsed/>
    <w:qFormat/>
    <w:pPr>
      <w:spacing w:line="276" w:lineRule="auto"/>
    </w:pPr>
    <w:rPr>
      <w:b/>
      <w:bCs/>
      <w:color w:val="4F81BD" w:themeColor="accent1"/>
      <w:sz w:val="18"/>
      <w:szCs w:val="18"/>
    </w:rPr>
  </w:style>
  <w:style w:type="character" w:styleId="45">
    <w:name w:val="Caption Char"/>
    <w:basedOn w:val="44"/>
    <w:link w:val="42"/>
    <w:uiPriority w:val="99"/>
  </w:style>
  <w:style w:type="table" w:styleId="46">
    <w:name w:val="Table Grid"/>
    <w:basedOn w:val="3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7">
    <w:name w:val="Table Grid Light"/>
    <w:basedOn w:val="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8">
    <w:name w:val="Plain Table 1"/>
    <w:basedOn w:val="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3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1">
    <w:name w:val="Plain Table 4"/>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3">
    <w:name w:val="Grid Table 1 Light"/>
    <w:basedOn w:val="3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4">
    <w:name w:val="Grid Table 1 Light - Accent 1"/>
    <w:basedOn w:val="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5">
    <w:name w:val="Grid Table 1 Light - Accent 2"/>
    <w:basedOn w:val="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6">
    <w:name w:val="Grid Table 1 Light - Accent 3"/>
    <w:basedOn w:val="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7">
    <w:name w:val="Grid Table 1 Light - Accent 4"/>
    <w:basedOn w:val="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8">
    <w:name w:val="Grid Table 1 Light - Accent 5"/>
    <w:basedOn w:val="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59">
    <w:name w:val="Grid Table 1 Light - Accent 6"/>
    <w:basedOn w:val="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0">
    <w:name w:val="Grid Table 2"/>
    <w:basedOn w:val="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1">
    <w:name w:val="Grid Table 2 - Accent 1"/>
    <w:basedOn w:val="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2">
    <w:name w:val="Grid Table 2 - Accent 2"/>
    <w:basedOn w:val="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3">
    <w:name w:val="Grid Table 2 - Accent 3"/>
    <w:basedOn w:val="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4">
    <w:name w:val="Grid Table 2 - Accent 4"/>
    <w:basedOn w:val="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5">
    <w:name w:val="Grid Table 2 - Accent 5"/>
    <w:basedOn w:val="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6">
    <w:name w:val="Grid Table 2 - Accent 6"/>
    <w:basedOn w:val="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7">
    <w:name w:val="Grid Table 3"/>
    <w:basedOn w:val="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
    <w:name w:val="Grid Table 3 - Accent 1"/>
    <w:basedOn w:val="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2"/>
    <w:basedOn w:val="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3"/>
    <w:basedOn w:val="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4"/>
    <w:basedOn w:val="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5"/>
    <w:basedOn w:val="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6"/>
    <w:basedOn w:val="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4"/>
    <w:basedOn w:val="3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
    <w:name w:val="Grid Table 4 - Accent 1"/>
    <w:basedOn w:val="3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
    <w:name w:val="Grid Table 4 - Accent 2"/>
    <w:basedOn w:val="3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
    <w:name w:val="Grid Table 4 - Accent 3"/>
    <w:basedOn w:val="3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
    <w:name w:val="Grid Table 4 - Accent 4"/>
    <w:basedOn w:val="3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
    <w:name w:val="Grid Table 4 - Accent 5"/>
    <w:basedOn w:val="3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
    <w:name w:val="Grid Table 4 - Accent 6"/>
    <w:basedOn w:val="3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
    <w:name w:val="Grid Table 5 Dark"/>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2">
    <w:name w:val="Grid Table 5 Dark- Accent 1"/>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3">
    <w:name w:val="Grid Table 5 Dark - Accent 2"/>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4">
    <w:name w:val="Grid Table 5 Dark - Accent 3"/>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5">
    <w:name w:val="Grid Table 5 Dark- Accent 4"/>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6">
    <w:name w:val="Grid Table 5 Dark - Accent 5"/>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7">
    <w:name w:val="Grid Table 5 Dark - Accent 6"/>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8">
    <w:name w:val="Grid Table 6 Colorful"/>
    <w:basedOn w:val="3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3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3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3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3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7 Colorful"/>
    <w:basedOn w:val="3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6">
    <w:name w:val="Grid Table 7 Colorful - Accent 1"/>
    <w:basedOn w:val="3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7">
    <w:name w:val="Grid Table 7 Colorful - Accent 2"/>
    <w:basedOn w:val="3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8">
    <w:name w:val="Grid Table 7 Colorful - Accent 3"/>
    <w:basedOn w:val="3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99">
    <w:name w:val="Grid Table 7 Colorful - Accent 4"/>
    <w:basedOn w:val="3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0">
    <w:name w:val="Grid Table 7 Colorful - Accent 5"/>
    <w:basedOn w:val="3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1">
    <w:name w:val="Grid Table 7 Colorful - Accent 6"/>
    <w:basedOn w:val="3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2">
    <w:name w:val="List Table 1 Light"/>
    <w:basedOn w:val="3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3">
    <w:name w:val="List Table 1 Light - Accent 1"/>
    <w:basedOn w:val="30"/>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4">
    <w:name w:val="List Table 1 Light - Accent 2"/>
    <w:basedOn w:val="30"/>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5">
    <w:name w:val="List Table 1 Light - Accent 3"/>
    <w:basedOn w:val="30"/>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6">
    <w:name w:val="List Table 1 Light - Accent 4"/>
    <w:basedOn w:val="30"/>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7">
    <w:name w:val="List Table 1 Light - Accent 5"/>
    <w:basedOn w:val="30"/>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8">
    <w:name w:val="List Table 1 Light - Accent 6"/>
    <w:basedOn w:val="30"/>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9">
    <w:name w:val="List Table 2"/>
    <w:basedOn w:val="3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0">
    <w:name w:val="List Table 2 - Accent 1"/>
    <w:basedOn w:val="3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1">
    <w:name w:val="List Table 2 - Accent 2"/>
    <w:basedOn w:val="3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2">
    <w:name w:val="List Table 2 - Accent 3"/>
    <w:basedOn w:val="3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3">
    <w:name w:val="List Table 2 - Accent 4"/>
    <w:basedOn w:val="3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4">
    <w:name w:val="List Table 2 - Accent 5"/>
    <w:basedOn w:val="3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5">
    <w:name w:val="List Table 2 - Accent 6"/>
    <w:basedOn w:val="3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6">
    <w:name w:val="List Table 3"/>
    <w:basedOn w:val="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7">
    <w:name w:val="List Table 3 - Accent 1"/>
    <w:basedOn w:val="3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18">
    <w:name w:val="List Table 3 - Accent 2"/>
    <w:basedOn w:val="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19">
    <w:name w:val="List Table 3 - Accent 3"/>
    <w:basedOn w:val="3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0">
    <w:name w:val="List Table 3 - Accent 4"/>
    <w:basedOn w:val="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1">
    <w:name w:val="List Table 3 - Accent 5"/>
    <w:basedOn w:val="3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2">
    <w:name w:val="List Table 3 - Accent 6"/>
    <w:basedOn w:val="3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3">
    <w:name w:val="List Table 4"/>
    <w:basedOn w:val="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4">
    <w:name w:val="List Table 4 - Accent 1"/>
    <w:basedOn w:val="3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5">
    <w:name w:val="List Table 4 - Accent 2"/>
    <w:basedOn w:val="3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6">
    <w:name w:val="List Table 4 - Accent 3"/>
    <w:basedOn w:val="3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7">
    <w:name w:val="List Table 4 - Accent 4"/>
    <w:basedOn w:val="3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28">
    <w:name w:val="List Table 4 - Accent 5"/>
    <w:basedOn w:val="3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29">
    <w:name w:val="List Table 4 - Accent 6"/>
    <w:basedOn w:val="3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0">
    <w:name w:val="List Table 5 Dark"/>
    <w:basedOn w:val="3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3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3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3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3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3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3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3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8">
    <w:name w:val="List Table 6 Colorful - Accent 1"/>
    <w:basedOn w:val="3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39">
    <w:name w:val="List Table 6 Colorful - Accent 2"/>
    <w:basedOn w:val="3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0">
    <w:name w:val="List Table 6 Colorful - Accent 3"/>
    <w:basedOn w:val="3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1">
    <w:name w:val="List Table 6 Colorful - Accent 4"/>
    <w:basedOn w:val="3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2">
    <w:name w:val="List Table 6 Colorful - Accent 5"/>
    <w:basedOn w:val="3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3">
    <w:name w:val="List Table 6 Colorful - Accent 6"/>
    <w:basedOn w:val="3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4">
    <w:name w:val="List Table 7 Colorful"/>
    <w:basedOn w:val="3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3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6">
    <w:name w:val="List Table 7 Colorful - Accent 2"/>
    <w:basedOn w:val="3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7">
    <w:name w:val="List Table 7 Colorful - Accent 3"/>
    <w:basedOn w:val="3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48">
    <w:name w:val="List Table 7 Colorful - Accent 4"/>
    <w:basedOn w:val="3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49">
    <w:name w:val="List Table 7 Colorful - Accent 5"/>
    <w:basedOn w:val="3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0">
    <w:name w:val="List Table 7 Colorful - Accent 6"/>
    <w:basedOn w:val="3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1">
    <w:name w:val="Lined - Accent"/>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2">
    <w:name w:val="Lined - Accent 1"/>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3">
    <w:name w:val="Lined - Accent 2"/>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4">
    <w:name w:val="Lined - Accent 3"/>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5">
    <w:name w:val="Lined - Accent 4"/>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6">
    <w:name w:val="Lined - Accent 5"/>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7">
    <w:name w:val="Lined - Accent 6"/>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58">
    <w:name w:val="Bordered &amp; Lined - Accent"/>
    <w:basedOn w:val="3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9">
    <w:name w:val="Bordered &amp; Lined - Accent 1"/>
    <w:basedOn w:val="3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0">
    <w:name w:val="Bordered &amp; Lined - Accent 2"/>
    <w:basedOn w:val="3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1">
    <w:name w:val="Bordered &amp; Lined - Accent 3"/>
    <w:basedOn w:val="3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2">
    <w:name w:val="Bordered &amp; Lined - Accent 4"/>
    <w:basedOn w:val="3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3">
    <w:name w:val="Bordered &amp; Lined - Accent 5"/>
    <w:basedOn w:val="3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4">
    <w:name w:val="Bordered &amp; Lined - Accent 6"/>
    <w:basedOn w:val="3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5">
    <w:name w:val="Bordered"/>
    <w:basedOn w:val="3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6">
    <w:name w:val="Bordered - Accent 1"/>
    <w:basedOn w:val="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7">
    <w:name w:val="Bordered - Accent 2"/>
    <w:basedOn w:val="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8">
    <w:name w:val="Bordered - Accent 3"/>
    <w:basedOn w:val="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69">
    <w:name w:val="Bordered - Accent 4"/>
    <w:basedOn w:val="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0">
    <w:name w:val="Bordered - Accent 5"/>
    <w:basedOn w:val="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1">
    <w:name w:val="Bordered - Accent 6"/>
    <w:basedOn w:val="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2">
    <w:name w:val="Hyperlink"/>
    <w:uiPriority w:val="99"/>
    <w:unhideWhenUsed/>
    <w:rPr>
      <w:color w:val="0000FF" w:themeColor="hyperlink"/>
      <w:u w:val="single"/>
    </w:rPr>
  </w:style>
  <w:style w:type="paragraph" w:styleId="173">
    <w:name w:val="footnote text"/>
    <w:basedOn w:val="8"/>
    <w:link w:val="174"/>
    <w:uiPriority w:val="99"/>
    <w:semiHidden/>
    <w:unhideWhenUsed/>
    <w:pPr>
      <w:spacing w:after="40" w:line="240" w:lineRule="auto"/>
    </w:pPr>
    <w:rPr>
      <w:sz w:val="18"/>
    </w:rPr>
  </w:style>
  <w:style w:type="character" w:styleId="174">
    <w:name w:val="Footnote Text Char"/>
    <w:link w:val="173"/>
    <w:uiPriority w:val="99"/>
    <w:rPr>
      <w:sz w:val="18"/>
    </w:rPr>
  </w:style>
  <w:style w:type="character" w:styleId="175">
    <w:name w:val="footnote reference"/>
    <w:basedOn w:val="9"/>
    <w:uiPriority w:val="99"/>
    <w:unhideWhenUsed/>
    <w:rPr>
      <w:vertAlign w:val="superscript"/>
    </w:rPr>
  </w:style>
  <w:style w:type="paragraph" w:styleId="176">
    <w:name w:val="endnote text"/>
    <w:basedOn w:val="8"/>
    <w:link w:val="177"/>
    <w:uiPriority w:val="99"/>
    <w:semiHidden/>
    <w:unhideWhenUsed/>
    <w:pPr>
      <w:spacing w:after="0" w:line="240" w:lineRule="auto"/>
    </w:pPr>
    <w:rPr>
      <w:sz w:val="20"/>
    </w:rPr>
  </w:style>
  <w:style w:type="character" w:styleId="177">
    <w:name w:val="Endnote Text Char"/>
    <w:link w:val="176"/>
    <w:uiPriority w:val="99"/>
    <w:rPr>
      <w:sz w:val="20"/>
    </w:rPr>
  </w:style>
  <w:style w:type="character" w:styleId="178">
    <w:name w:val="endnote reference"/>
    <w:basedOn w:val="9"/>
    <w:uiPriority w:val="99"/>
    <w:semiHidden/>
    <w:unhideWhenUsed/>
    <w:rPr>
      <w:vertAlign w:val="superscript"/>
    </w:rPr>
  </w:style>
  <w:style w:type="paragraph" w:styleId="179">
    <w:name w:val="toc 1"/>
    <w:basedOn w:val="8"/>
    <w:next w:val="8"/>
    <w:uiPriority w:val="39"/>
    <w:unhideWhenUsed/>
    <w:pPr>
      <w:ind w:left="0" w:right="0" w:firstLine="0"/>
      <w:spacing w:after="57"/>
    </w:pPr>
  </w:style>
  <w:style w:type="paragraph" w:styleId="180">
    <w:name w:val="toc 2"/>
    <w:basedOn w:val="8"/>
    <w:next w:val="8"/>
    <w:uiPriority w:val="39"/>
    <w:unhideWhenUsed/>
    <w:pPr>
      <w:ind w:left="283" w:right="0" w:firstLine="0"/>
      <w:spacing w:after="57"/>
    </w:pPr>
  </w:style>
  <w:style w:type="paragraph" w:styleId="181">
    <w:name w:val="toc 3"/>
    <w:basedOn w:val="8"/>
    <w:next w:val="8"/>
    <w:uiPriority w:val="39"/>
    <w:unhideWhenUsed/>
    <w:pPr>
      <w:ind w:left="567" w:right="0" w:firstLine="0"/>
      <w:spacing w:after="57"/>
    </w:pPr>
  </w:style>
  <w:style w:type="paragraph" w:styleId="182">
    <w:name w:val="toc 4"/>
    <w:basedOn w:val="8"/>
    <w:next w:val="8"/>
    <w:uiPriority w:val="39"/>
    <w:unhideWhenUsed/>
    <w:pPr>
      <w:ind w:left="850" w:right="0" w:firstLine="0"/>
      <w:spacing w:after="57"/>
    </w:pPr>
  </w:style>
  <w:style w:type="paragraph" w:styleId="183">
    <w:name w:val="toc 5"/>
    <w:basedOn w:val="8"/>
    <w:next w:val="8"/>
    <w:uiPriority w:val="39"/>
    <w:unhideWhenUsed/>
    <w:pPr>
      <w:ind w:left="1134" w:right="0" w:firstLine="0"/>
      <w:spacing w:after="57"/>
    </w:pPr>
  </w:style>
  <w:style w:type="paragraph" w:styleId="184">
    <w:name w:val="toc 6"/>
    <w:basedOn w:val="8"/>
    <w:next w:val="8"/>
    <w:uiPriority w:val="39"/>
    <w:unhideWhenUsed/>
    <w:pPr>
      <w:ind w:left="1417" w:right="0" w:firstLine="0"/>
      <w:spacing w:after="57"/>
    </w:pPr>
  </w:style>
  <w:style w:type="paragraph" w:styleId="185">
    <w:name w:val="toc 7"/>
    <w:basedOn w:val="8"/>
    <w:next w:val="8"/>
    <w:uiPriority w:val="39"/>
    <w:unhideWhenUsed/>
    <w:pPr>
      <w:ind w:left="1701" w:right="0" w:firstLine="0"/>
      <w:spacing w:after="57"/>
    </w:pPr>
  </w:style>
  <w:style w:type="paragraph" w:styleId="186">
    <w:name w:val="toc 8"/>
    <w:basedOn w:val="8"/>
    <w:next w:val="8"/>
    <w:uiPriority w:val="39"/>
    <w:unhideWhenUsed/>
    <w:pPr>
      <w:ind w:left="1984" w:right="0" w:firstLine="0"/>
      <w:spacing w:after="57"/>
    </w:pPr>
  </w:style>
  <w:style w:type="paragraph" w:styleId="187">
    <w:name w:val="toc 9"/>
    <w:basedOn w:val="8"/>
    <w:next w:val="8"/>
    <w:uiPriority w:val="39"/>
    <w:unhideWhenUsed/>
    <w:pPr>
      <w:ind w:left="2268" w:right="0" w:firstLine="0"/>
      <w:spacing w:after="57"/>
    </w:pPr>
  </w:style>
  <w:style w:type="paragraph" w:styleId="188">
    <w:name w:val="TOC Heading"/>
    <w:uiPriority w:val="39"/>
    <w:unhideWhenUsed/>
  </w:style>
  <w:style w:type="paragraph" w:styleId="189">
    <w:name w:val="table of figures"/>
    <w:basedOn w:val="8"/>
    <w:next w:val="8"/>
    <w:uiPriority w:val="99"/>
    <w:unhideWhenUsed/>
    <w:pPr>
      <w:spacing w:after="0" w:afterAutospacing="0"/>
    </w:pPr>
  </w:style>
  <w:style w:type="paragraph" w:styleId="731">
    <w:name w:val="Header 1d081f6ce8820241d786797f0d0c2b8f"/>
    <w:basedOn w:val="747"/>
    <w:link w:val="732"/>
    <w:uiPriority w:val="99"/>
    <w:unhideWhenUsed/>
    <w:pPr>
      <w:spacing w:after="0" w:line="240" w:lineRule="auto"/>
      <w:tabs>
        <w:tab w:val="center" w:pos="7143" w:leader="none"/>
        <w:tab w:val="right" w:pos="14287" w:leader="none"/>
      </w:tabs>
    </w:pPr>
  </w:style>
  <w:style w:type="character" w:styleId="732">
    <w:name w:val="Header Char 1d081f6ce8820241d786797f0d0c2b8f"/>
    <w:link w:val="731"/>
    <w:uiPriority w:val="99"/>
  </w:style>
  <w:style w:type="paragraph" w:styleId="733">
    <w:name w:val="Footer 1d081f6ce8820241d786797f0d0c2b8f"/>
    <w:basedOn w:val="747"/>
    <w:link w:val="735"/>
    <w:uiPriority w:val="99"/>
    <w:unhideWhenUsed/>
    <w:pPr>
      <w:spacing w:after="0" w:line="240" w:lineRule="auto"/>
      <w:tabs>
        <w:tab w:val="center" w:pos="7143" w:leader="none"/>
        <w:tab w:val="right" w:pos="14287" w:leader="none"/>
      </w:tabs>
    </w:pPr>
  </w:style>
  <w:style w:type="character" w:styleId="734">
    <w:name w:val="Footer Char 1d081f6ce8820241d786797f0d0c2b8f"/>
    <w:link w:val="733"/>
    <w:uiPriority w:val="99"/>
  </w:style>
  <w:style w:type="character" w:styleId="735">
    <w:name w:val="Caption Char 1d081f6ce8820241d786797f0d0c2b8f"/>
    <w:link w:val="733"/>
    <w:uiPriority w:val="99"/>
  </w:style>
  <w:style w:type="table" w:styleId="736">
    <w:name w:val="Table Grid 1d081f6ce8820241d786797f0d0c2b8f"/>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737">
    <w:name w:val="Hyperlink 1d081f6ce8820241d786797f0d0c2b8f"/>
    <w:uiPriority w:val="99"/>
    <w:unhideWhenUsed/>
    <w:rPr>
      <w:color w:val="0000FF" w:themeColor="hyperlink"/>
      <w:u w:val="single"/>
    </w:rPr>
  </w:style>
  <w:style w:type="paragraph" w:styleId="738">
    <w:name w:val="toc 1 1d081f6ce8820241d786797f0d0c2b8f"/>
    <w:basedOn w:val="747"/>
    <w:uiPriority w:val="39"/>
    <w:unhideWhenUsed/>
    <w:pPr>
      <w:ind w:left="0" w:right="0" w:firstLine="0"/>
      <w:spacing w:after="57"/>
    </w:pPr>
  </w:style>
  <w:style w:type="paragraph" w:styleId="739">
    <w:name w:val="toc 2 1d081f6ce8820241d786797f0d0c2b8f"/>
    <w:basedOn w:val="747"/>
    <w:uiPriority w:val="39"/>
    <w:unhideWhenUsed/>
    <w:pPr>
      <w:ind w:left="283" w:right="0" w:firstLine="0"/>
      <w:spacing w:after="57"/>
    </w:pPr>
  </w:style>
  <w:style w:type="paragraph" w:styleId="740">
    <w:name w:val="toc 3 1d081f6ce8820241d786797f0d0c2b8f"/>
    <w:basedOn w:val="747"/>
    <w:uiPriority w:val="39"/>
    <w:unhideWhenUsed/>
    <w:pPr>
      <w:ind w:left="567" w:right="0" w:firstLine="0"/>
      <w:spacing w:after="57"/>
    </w:pPr>
  </w:style>
  <w:style w:type="paragraph" w:styleId="741">
    <w:name w:val="toc 4 1d081f6ce8820241d786797f0d0c2b8f"/>
    <w:basedOn w:val="747"/>
    <w:uiPriority w:val="39"/>
    <w:unhideWhenUsed/>
    <w:pPr>
      <w:ind w:left="850" w:right="0" w:firstLine="0"/>
      <w:spacing w:after="57"/>
    </w:pPr>
  </w:style>
  <w:style w:type="paragraph" w:styleId="742">
    <w:name w:val="toc 5 1d081f6ce8820241d786797f0d0c2b8f"/>
    <w:basedOn w:val="747"/>
    <w:uiPriority w:val="39"/>
    <w:unhideWhenUsed/>
    <w:pPr>
      <w:ind w:left="1134" w:right="0" w:firstLine="0"/>
      <w:spacing w:after="57"/>
    </w:pPr>
  </w:style>
  <w:style w:type="paragraph" w:styleId="743">
    <w:name w:val="toc 6 1d081f6ce8820241d786797f0d0c2b8f"/>
    <w:basedOn w:val="747"/>
    <w:uiPriority w:val="39"/>
    <w:unhideWhenUsed/>
    <w:pPr>
      <w:ind w:left="1417" w:right="0" w:firstLine="0"/>
      <w:spacing w:after="57"/>
    </w:pPr>
  </w:style>
  <w:style w:type="paragraph" w:styleId="744">
    <w:name w:val="toc 7 1d081f6ce8820241d786797f0d0c2b8f"/>
    <w:basedOn w:val="747"/>
    <w:uiPriority w:val="39"/>
    <w:unhideWhenUsed/>
    <w:pPr>
      <w:ind w:left="1701" w:right="0" w:firstLine="0"/>
      <w:spacing w:after="57"/>
    </w:pPr>
  </w:style>
  <w:style w:type="paragraph" w:styleId="745">
    <w:name w:val="toc 8 1d081f6ce8820241d786797f0d0c2b8f"/>
    <w:basedOn w:val="747"/>
    <w:uiPriority w:val="39"/>
    <w:unhideWhenUsed/>
    <w:pPr>
      <w:ind w:left="1984" w:right="0" w:firstLine="0"/>
      <w:spacing w:after="57"/>
    </w:pPr>
  </w:style>
  <w:style w:type="paragraph" w:styleId="746">
    <w:name w:val="toc 9 1d081f6ce8820241d786797f0d0c2b8f"/>
    <w:basedOn w:val="747"/>
    <w:uiPriority w:val="39"/>
    <w:unhideWhenUsed/>
    <w:pPr>
      <w:ind w:left="2268" w:right="0" w:firstLine="0"/>
      <w:spacing w:after="57"/>
    </w:pPr>
  </w:style>
  <w:style w:type="paragraph" w:styleId="747" w:default="1">
    <w:name w:val="Normal 1d081f6ce8820241d786797f0d0c2b8f"/>
    <w:qFormat/>
    <w:pPr>
      <w:widowControl w:val="off"/>
    </w:pPr>
    <w:rPr>
      <w:rFonts w:ascii="Liberation Serif" w:hAnsi="Liberation Serif" w:cs="Mangal" w:eastAsia="SimSun"/>
      <w:color w:val="auto"/>
      <w:sz w:val="24"/>
      <w:szCs w:val="24"/>
      <w:lang w:val="it-IT" w:bidi="hi-IN" w:eastAsia="zh-CN"/>
    </w:rPr>
  </w:style>
  <w:style w:type="character" w:styleId="748" w:default="1">
    <w:name w:val="Default Paragraph Font 1d081f6ce8820241d786797f0d0c2b8f"/>
    <w:uiPriority w:val="1"/>
    <w:semiHidden/>
    <w:unhideWhenUsed/>
  </w:style>
  <w:style w:type="numbering" w:styleId="749" w:default="1">
    <w:name w:val="No List 1d081f6ce8820241d786797f0d0c2b8f"/>
    <w:uiPriority w:val="99"/>
    <w:semiHidden/>
    <w:unhideWhenUsed/>
  </w:style>
  <w:style w:type="table" w:styleId="750" w:default="1">
    <w:name w:val="Normal Table 1d081f6ce8820241d786797f0d0c2b8f"/>
    <w:uiPriority w:val="99"/>
    <w:semiHidden/>
    <w:unhideWhenUsed/>
    <w:tblPr/>
  </w:style>
  <w:style w:type="character" w:styleId="751">
    <w:name w:val="Hyperlink edbda1d732f571a3ea68033e477b45bf"/>
    <w:uiPriority w:val="99"/>
    <w:unhideWhenUsed/>
    <w:rPr>
      <w:color w:val="0000FF" w:themeColor="hyperlink"/>
      <w:u w:val="single"/>
    </w:rPr>
  </w:style>
  <w:style w:type="paragraph" w:styleId="752">
    <w:name w:val="toc 1 edbda1d732f571a3ea68033e477b45bf"/>
    <w:basedOn w:val="761"/>
    <w:uiPriority w:val="39"/>
    <w:unhideWhenUsed/>
    <w:pPr>
      <w:ind w:left="0" w:right="0" w:firstLine="0"/>
      <w:spacing w:after="57"/>
    </w:pPr>
  </w:style>
  <w:style w:type="paragraph" w:styleId="753">
    <w:name w:val="toc 2 edbda1d732f571a3ea68033e477b45bf"/>
    <w:basedOn w:val="761"/>
    <w:uiPriority w:val="39"/>
    <w:unhideWhenUsed/>
    <w:pPr>
      <w:ind w:left="283" w:right="0" w:firstLine="0"/>
      <w:spacing w:after="57"/>
    </w:pPr>
  </w:style>
  <w:style w:type="paragraph" w:styleId="754">
    <w:name w:val="toc 3 edbda1d732f571a3ea68033e477b45bf"/>
    <w:basedOn w:val="761"/>
    <w:uiPriority w:val="39"/>
    <w:unhideWhenUsed/>
    <w:pPr>
      <w:ind w:left="567" w:right="0" w:firstLine="0"/>
      <w:spacing w:after="57"/>
    </w:pPr>
  </w:style>
  <w:style w:type="paragraph" w:styleId="755">
    <w:name w:val="toc 4 edbda1d732f571a3ea68033e477b45bf"/>
    <w:basedOn w:val="761"/>
    <w:uiPriority w:val="39"/>
    <w:unhideWhenUsed/>
    <w:pPr>
      <w:ind w:left="850" w:right="0" w:firstLine="0"/>
      <w:spacing w:after="57"/>
    </w:pPr>
  </w:style>
  <w:style w:type="paragraph" w:styleId="756">
    <w:name w:val="toc 5 edbda1d732f571a3ea68033e477b45bf"/>
    <w:basedOn w:val="761"/>
    <w:uiPriority w:val="39"/>
    <w:unhideWhenUsed/>
    <w:pPr>
      <w:ind w:left="1134" w:right="0" w:firstLine="0"/>
      <w:spacing w:after="57"/>
    </w:pPr>
  </w:style>
  <w:style w:type="paragraph" w:styleId="757">
    <w:name w:val="toc 6 edbda1d732f571a3ea68033e477b45bf"/>
    <w:basedOn w:val="761"/>
    <w:uiPriority w:val="39"/>
    <w:unhideWhenUsed/>
    <w:pPr>
      <w:ind w:left="1417" w:right="0" w:firstLine="0"/>
      <w:spacing w:after="57"/>
    </w:pPr>
  </w:style>
  <w:style w:type="paragraph" w:styleId="758">
    <w:name w:val="toc 7 edbda1d732f571a3ea68033e477b45bf"/>
    <w:basedOn w:val="761"/>
    <w:uiPriority w:val="39"/>
    <w:unhideWhenUsed/>
    <w:pPr>
      <w:ind w:left="1701" w:right="0" w:firstLine="0"/>
      <w:spacing w:after="57"/>
    </w:pPr>
  </w:style>
  <w:style w:type="paragraph" w:styleId="759">
    <w:name w:val="toc 8 edbda1d732f571a3ea68033e477b45bf"/>
    <w:basedOn w:val="761"/>
    <w:uiPriority w:val="39"/>
    <w:unhideWhenUsed/>
    <w:pPr>
      <w:ind w:left="1984" w:right="0" w:firstLine="0"/>
      <w:spacing w:after="57"/>
    </w:pPr>
  </w:style>
  <w:style w:type="paragraph" w:styleId="760">
    <w:name w:val="toc 9 edbda1d732f571a3ea68033e477b45bf"/>
    <w:basedOn w:val="761"/>
    <w:uiPriority w:val="39"/>
    <w:unhideWhenUsed/>
    <w:pPr>
      <w:ind w:left="2268" w:right="0" w:firstLine="0"/>
      <w:spacing w:after="57"/>
    </w:pPr>
  </w:style>
  <w:style w:type="paragraph" w:styleId="761">
    <w:name w:val="Normal edbda1d732f571a3ea68033e477b45bf"/>
    <w:pPr>
      <w:widowControl w:val="off"/>
    </w:pPr>
    <w:rPr>
      <w:rFonts w:ascii="Liberation Serif" w:hAnsi="Liberation Serif" w:cs="Mangal" w:eastAsia="SimSun"/>
      <w:color w:val="auto"/>
      <w:sz w:val="24"/>
      <w:szCs w:val="24"/>
      <w:lang w:val="it-IT" w:bidi="hi-IN" w:eastAsia="zh-CN"/>
    </w:rPr>
  </w:style>
  <w:style w:type="character" w:styleId="762">
    <w:name w:val="Default Paragraph Font edbda1d732f571a3ea68033e477b45bf"/>
    <w:uiPriority w:val="1"/>
    <w:semiHidden/>
    <w:unhideWhenUsed/>
  </w:style>
  <w:style w:type="numbering" w:styleId="763">
    <w:name w:val="No List edbda1d732f571a3ea68033e477b45bf"/>
    <w:uiPriority w:val="99"/>
    <w:semiHidden/>
    <w:unhideWhenUsed/>
  </w:style>
  <w:style w:type="table" w:styleId="764">
    <w:name w:val="Normal Table edbda1d732f571a3ea68033e477b45bf"/>
    <w:uiPriority w:val="99"/>
    <w:semiHidden/>
    <w:unhideWhenUsed/>
    <w:tblPr/>
  </w:style>
  <w:style w:type="character" w:styleId="765">
    <w:name w:val="Hyperlink dca60799aab6c05a8f501c4791281db8"/>
    <w:uiPriority w:val="99"/>
    <w:unhideWhenUsed/>
    <w:rPr>
      <w:color w:val="0000FF" w:themeColor="hyperlink"/>
      <w:u w:val="single"/>
    </w:rPr>
  </w:style>
  <w:style w:type="paragraph" w:styleId="766">
    <w:name w:val="toc 1 dca60799aab6c05a8f501c4791281db8"/>
    <w:basedOn w:val="775"/>
    <w:uiPriority w:val="39"/>
    <w:unhideWhenUsed/>
    <w:pPr>
      <w:ind w:left="0" w:right="0" w:firstLine="0"/>
      <w:spacing w:after="57"/>
    </w:pPr>
  </w:style>
  <w:style w:type="paragraph" w:styleId="767">
    <w:name w:val="toc 2 dca60799aab6c05a8f501c4791281db8"/>
    <w:basedOn w:val="775"/>
    <w:uiPriority w:val="39"/>
    <w:unhideWhenUsed/>
    <w:pPr>
      <w:ind w:left="283" w:right="0" w:firstLine="0"/>
      <w:spacing w:after="57"/>
    </w:pPr>
  </w:style>
  <w:style w:type="paragraph" w:styleId="768">
    <w:name w:val="toc 3 dca60799aab6c05a8f501c4791281db8"/>
    <w:basedOn w:val="775"/>
    <w:uiPriority w:val="39"/>
    <w:unhideWhenUsed/>
    <w:pPr>
      <w:ind w:left="567" w:right="0" w:firstLine="0"/>
      <w:spacing w:after="57"/>
    </w:pPr>
  </w:style>
  <w:style w:type="paragraph" w:styleId="769">
    <w:name w:val="toc 4 dca60799aab6c05a8f501c4791281db8"/>
    <w:basedOn w:val="775"/>
    <w:uiPriority w:val="39"/>
    <w:unhideWhenUsed/>
    <w:pPr>
      <w:ind w:left="850" w:right="0" w:firstLine="0"/>
      <w:spacing w:after="57"/>
    </w:pPr>
  </w:style>
  <w:style w:type="paragraph" w:styleId="770">
    <w:name w:val="toc 5 dca60799aab6c05a8f501c4791281db8"/>
    <w:basedOn w:val="775"/>
    <w:uiPriority w:val="39"/>
    <w:unhideWhenUsed/>
    <w:pPr>
      <w:ind w:left="1134" w:right="0" w:firstLine="0"/>
      <w:spacing w:after="57"/>
    </w:pPr>
  </w:style>
  <w:style w:type="paragraph" w:styleId="771">
    <w:name w:val="toc 6 dca60799aab6c05a8f501c4791281db8"/>
    <w:basedOn w:val="775"/>
    <w:uiPriority w:val="39"/>
    <w:unhideWhenUsed/>
    <w:pPr>
      <w:ind w:left="1417" w:right="0" w:firstLine="0"/>
      <w:spacing w:after="57"/>
    </w:pPr>
  </w:style>
  <w:style w:type="paragraph" w:styleId="772">
    <w:name w:val="toc 7 dca60799aab6c05a8f501c4791281db8"/>
    <w:basedOn w:val="775"/>
    <w:uiPriority w:val="39"/>
    <w:unhideWhenUsed/>
    <w:pPr>
      <w:ind w:left="1701" w:right="0" w:firstLine="0"/>
      <w:spacing w:after="57"/>
    </w:pPr>
  </w:style>
  <w:style w:type="paragraph" w:styleId="773">
    <w:name w:val="toc 8 dca60799aab6c05a8f501c4791281db8"/>
    <w:basedOn w:val="775"/>
    <w:uiPriority w:val="39"/>
    <w:unhideWhenUsed/>
    <w:pPr>
      <w:ind w:left="1984" w:right="0" w:firstLine="0"/>
      <w:spacing w:after="57"/>
    </w:pPr>
  </w:style>
  <w:style w:type="paragraph" w:styleId="774">
    <w:name w:val="toc 9 dca60799aab6c05a8f501c4791281db8"/>
    <w:basedOn w:val="775"/>
    <w:uiPriority w:val="39"/>
    <w:unhideWhenUsed/>
    <w:pPr>
      <w:ind w:left="2268" w:right="0" w:firstLine="0"/>
      <w:spacing w:after="57"/>
    </w:pPr>
  </w:style>
  <w:style w:type="paragraph" w:styleId="775">
    <w:name w:val="Normal dca60799aab6c05a8f501c4791281db8"/>
    <w:pPr>
      <w:widowControl w:val="off"/>
    </w:pPr>
    <w:rPr>
      <w:rFonts w:ascii="Liberation Serif" w:hAnsi="Liberation Serif" w:cs="Mangal" w:eastAsia="SimSun"/>
      <w:color w:val="auto"/>
      <w:sz w:val="24"/>
      <w:szCs w:val="24"/>
      <w:lang w:val="it-IT" w:bidi="hi-IN" w:eastAsia="zh-CN"/>
    </w:rPr>
  </w:style>
  <w:style w:type="character" w:styleId="776">
    <w:name w:val="Default Paragraph Font dca60799aab6c05a8f501c4791281db8"/>
    <w:uiPriority w:val="1"/>
    <w:semiHidden/>
    <w:unhideWhenUsed/>
  </w:style>
  <w:style w:type="numbering" w:styleId="777">
    <w:name w:val="No List dca60799aab6c05a8f501c4791281db8"/>
    <w:uiPriority w:val="99"/>
    <w:semiHidden/>
    <w:unhideWhenUsed/>
  </w:style>
  <w:style w:type="table" w:styleId="778">
    <w:name w:val="Normal Table dca60799aab6c05a8f501c4791281db8"/>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ONLYOFFICE/7.1.1.23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language>it-IT</dc:language>
  <cp:lastModifiedBy>s.burghiani</cp:lastModifiedBy>
  <cp:revision>16</cp:revision>
  <dcterms:created xsi:type="dcterms:W3CDTF">2016-01-21T15:36:37Z</dcterms:created>
  <dcterms:modified xsi:type="dcterms:W3CDTF">2026-07-24T09:43:14Z</dcterms:modified>
</cp:coreProperties>
</file>