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tabs>
          <w:tab w:val="left" w:pos="708" w:leader="none"/>
          <w:tab w:val="center" w:pos="4819" w:leader="none"/>
          <w:tab w:val="right" w:pos="9638" w:leader="none"/>
        </w:tabs>
        <w:rPr>
          <w:rFonts w:ascii="Tahoma" w:hAnsi="Tahoma" w:cs="Tahoma" w:eastAsia="Times New Roman"/>
          <w:lang w:eastAsia="it-IT"/>
        </w:rPr>
      </w:pPr>
      <w:r>
        <w:rPr>
          <w:rFonts w:ascii="Tahoma" w:hAnsi="Tahoma" w:cs="Tahoma" w:eastAsia="Times New Roman"/>
          <w:b/>
          <w:lang w:eastAsia="it-IT"/>
        </w:rPr>
      </w:r>
      <w:r>
        <w:rPr>
          <w:rFonts w:ascii="Tahoma" w:hAnsi="Tahoma" w:cs="Tahoma" w:eastAsia="Times New Roman"/>
          <w:lang w:eastAsia="it-IT"/>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PROPOSTA DI DELIBERAZIONE</w:t>
      </w:r>
      <w:r>
        <w:rPr>
          <w:rFonts w:ascii="Arial" w:hAnsi="Arial" w:cs="Arial" w:eastAsia="Arial"/>
          <w:sz w:val="24"/>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b/>
          <w:sz w:val="24"/>
          <w:lang w:eastAsia="it-IT"/>
        </w:rPr>
        <w:t xml:space="preserve">DEL CONSIGLIO COMUNALE</w:t>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sz w:val="24"/>
          <w:highlight w:val="none"/>
        </w:rPr>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highlight w:val="none"/>
          <w:lang w:eastAsia="it-IT"/>
        </w:rPr>
        <w:t xml:space="preserve">n. </w:t>
      </w:r>
      <w:r>
        <w:rPr>
          <w:rFonts w:ascii="Arial" w:hAnsi="Arial" w:cs="Arial" w:eastAsia="Arial"/>
          <w:b/>
          <w:sz w:val="24"/>
          <w:lang w:eastAsia="it-IT"/>
        </w:rPr>
        <w:t xml:space="preserve">463 del </w:t>
      </w:r>
      <w:r>
        <w:rPr>
          <w:rFonts w:ascii="Arial" w:hAnsi="Arial" w:cs="Arial" w:eastAsia="Arial"/>
          <w:b/>
          <w:sz w:val="24"/>
          <w:lang w:eastAsia="it-IT"/>
        </w:rPr>
        <w:t xml:space="preserve">24/04/2026</w:t>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OGGETTO:</w:t>
      </w:r>
      <w:r>
        <w:rPr>
          <w:rFonts w:ascii="Arial" w:hAnsi="Arial" w:cs="Arial" w:eastAsia="Arial"/>
          <w:sz w:val="24"/>
        </w:rPr>
      </w:r>
      <w:r/>
    </w:p>
    <w:p>
      <w:pPr>
        <w:rPr>
          <w:rFonts w:ascii="Arial" w:hAnsi="Arial" w:cs="Arial" w:eastAsia="Arial"/>
        </w:rPr>
      </w:pPr>
      <w:r>
        <w:rPr>
          <w:rFonts w:ascii="Arial" w:hAnsi="Arial" w:cs="Arial" w:eastAsia="Arial"/>
          <w:b/>
          <w:sz w:val="24"/>
          <w:lang w:eastAsia="it-IT"/>
        </w:rPr>
        <w:t xml:space="preserve">DETERMINAZIONI IN MERITO ALLA SUSSISTENZA DELL'INTERESSE PUBBLICO PER LA LOCALIZZAZIONE DI ATTIVITÀ RIENTRANTE NELLA CATEGORIA "S - SERVIZI COLLETTIVI A CARATTERE SOCIALE", AI SENSI DELL'ART. 4 DELLE N.T.A. DEL PIANO URBANISTICO COMUNALE</w:t>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Bdr>
          <w:bottom w:val="single" w:color="000000" w:sz="6" w:space="0"/>
        </w:pBdr>
      </w:pPr>
      <w:r>
        <w:rPr>
          <w:rFonts w:ascii="Arial" w:hAnsi="Arial" w:cs="Arial" w:eastAsia="Arial"/>
          <w:sz w:val="2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lang w:eastAsia="it-IT"/>
        </w:rPr>
      </w:r>
      <w:r>
        <w:rPr>
          <w:rFonts w:ascii="Arial" w:hAnsi="Arial" w:cs="Arial" w:eastAsia="Arial"/>
          <w:sz w:val="24"/>
        </w:rPr>
      </w:r>
      <w:r/>
    </w:p>
    <w:p>
      <w:pPr>
        <w:pStyle w:val="786"/>
      </w:pPr>
      <w:r/>
      <w:r/>
    </w:p>
    <w:p>
      <w:pPr>
        <w:jc w:val="center"/>
        <w:rPr>
          <w:rFonts w:ascii="Arial" w:hAnsi="Arial" w:cs="Arial" w:eastAsia="Arial"/>
          <w:b/>
          <w:color w:val="000000"/>
          <w:sz w:val="24"/>
          <w:highlight w:val="none"/>
        </w:rPr>
      </w:pPr>
      <w:r>
        <w:rPr>
          <w:rFonts w:ascii="Arial" w:hAnsi="Arial" w:cs="Arial" w:eastAsia="Arial"/>
          <w:b/>
          <w:color w:val="000000" w:themeColor="text1"/>
          <w:sz w:val="24"/>
          <w:highlight w:val="none"/>
        </w:rPr>
      </w:r>
      <w:r>
        <w:rPr>
          <w:color w:val="000000" w:themeColor="text1"/>
        </w:rPr>
      </w:r>
      <w:r/>
    </w:p>
    <w:p>
      <w:pPr>
        <w:pStyle w:val="772"/>
        <w:jc w:val="center"/>
        <w:rPr>
          <w:rFonts w:ascii="Arial" w:hAnsi="Arial" w:cs="Arial" w:eastAsia="Arial"/>
          <w:b/>
          <w:bCs/>
          <w:color w:val="000000"/>
          <w:sz w:val="24"/>
          <w:szCs w:val="24"/>
          <w:highlight w:val="none"/>
        </w:rPr>
      </w:pPr>
      <w:r>
        <w:rPr>
          <w:rFonts w:ascii="Arial" w:hAnsi="Arial" w:cs="Arial" w:eastAsia="Arial"/>
          <w:b/>
          <w:color w:val="000000" w:themeColor="text1"/>
          <w:sz w:val="24"/>
        </w:rPr>
        <w:t xml:space="preserve">IL CONSIGLIO COMUNALE</w:t>
      </w:r>
      <w:r>
        <w:rPr>
          <w:color w:val="000000" w:themeColor="text1"/>
        </w:rPr>
      </w:r>
      <w:r/>
    </w:p>
    <w:p>
      <w:pPr>
        <w:jc w:val="left"/>
        <w:rPr>
          <w:rFonts w:ascii="Arial" w:hAnsi="Arial" w:cs="Arial" w:eastAsia="Arial"/>
          <w:b/>
          <w:bCs/>
          <w:color w:val="000000"/>
          <w:sz w:val="24"/>
          <w:szCs w:val="24"/>
          <w:highlight w:val="none"/>
        </w:rPr>
      </w:pPr>
      <w:r>
        <w:rPr>
          <w:rFonts w:ascii="Arial" w:hAnsi="Arial" w:cs="Arial" w:eastAsia="Arial"/>
          <w:b/>
          <w:bCs/>
          <w:color w:val="000000" w:themeColor="text1"/>
          <w:sz w:val="24"/>
          <w:szCs w:val="24"/>
          <w:highlight w:val="none"/>
        </w:rPr>
      </w:r>
      <w:r>
        <w:rPr>
          <w:color w:val="000000" w:themeColor="text1"/>
        </w:rPr>
      </w:r>
      <w:r/>
    </w:p>
    <w:p>
      <w:pPr>
        <w:jc w:val="center"/>
        <w:rPr>
          <w:rFonts w:ascii="Arial" w:hAnsi="Arial" w:cs="Arial" w:eastAsia="Arial"/>
          <w:b/>
          <w:bCs/>
          <w:color w:val="000000"/>
          <w:sz w:val="24"/>
          <w:szCs w:val="24"/>
          <w:highlight w:val="none"/>
        </w:rPr>
      </w:pPr>
      <w:r>
        <w:rPr>
          <w:rFonts w:ascii="Arial" w:hAnsi="Arial" w:cs="Arial" w:eastAsia="Arial"/>
          <w:b/>
          <w:bCs/>
          <w:color w:val="000000" w:themeColor="text1"/>
          <w:sz w:val="24"/>
          <w:szCs w:val="24"/>
          <w:highlight w:val="none"/>
        </w:rPr>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PREMESSO CHE:</w:t>
      </w:r>
      <w:r>
        <w:rPr>
          <w:color w:val="000000" w:themeColor="text1"/>
        </w:rPr>
      </w:r>
      <w:r/>
    </w:p>
    <w:p>
      <w:pPr>
        <w:numPr>
          <w:ilvl w:val="0"/>
          <w:numId w:val="1"/>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con istanza acquisita al protocollo generale del Comune di Osimo n. 33689 del 22/09/2025, la società Promozioni Immobiliari S.r.l., in persona del legale rappresentante pro tempore, ha presentato richiesta ai sensi dell’art. 4 delle NTA del PUC per la veri</w:t>
      </w:r>
      <w:r>
        <w:rPr>
          <w:rFonts w:ascii="Times New Roman" w:hAnsi="Times New Roman" w:cs="Times New Roman" w:eastAsia="Times New Roman"/>
          <w:color w:val="000000" w:themeColor="text1"/>
          <w:sz w:val="24"/>
        </w:rPr>
        <w:t xml:space="preserve">fica della compatibilità urbanistica della localizzazione proposta ed il riconoscimento dell’interesse pubblico relativamente all’intervento di realizzazione di una struttura sanitaria (S1) su porzione dell’immobile sito in località San Biagio, via D’Ancon</w:t>
      </w:r>
      <w:r>
        <w:rPr>
          <w:rFonts w:ascii="Times New Roman" w:hAnsi="Times New Roman" w:cs="Times New Roman" w:eastAsia="Times New Roman"/>
          <w:color w:val="000000" w:themeColor="text1"/>
          <w:sz w:val="24"/>
        </w:rPr>
        <w:t xml:space="preserve">a n. 43, edificio “A”; </w:t>
      </w:r>
      <w:r>
        <w:rPr>
          <w:color w:val="000000" w:themeColor="text1"/>
        </w:rPr>
      </w:r>
      <w:r/>
    </w:p>
    <w:p>
      <w:pPr>
        <w:numPr>
          <w:ilvl w:val="0"/>
          <w:numId w:val="1"/>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successivamente con nota prot. n. 37729 del 20/10/2025 è stata richiesta la regolarizzazione dell’istanza;</w:t>
      </w:r>
      <w:r>
        <w:rPr>
          <w:color w:val="000000" w:themeColor="text1"/>
        </w:rPr>
      </w:r>
      <w:r/>
    </w:p>
    <w:p>
      <w:pPr>
        <w:numPr>
          <w:ilvl w:val="0"/>
          <w:numId w:val="1"/>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con nota prot. n. 39202 del 30/10/2025 e con ulteriore documentazione acquisita al prot. n. 45735 del 20/12/2025, la società ha trasmesso integrazioni documentali ai fini dell’istruttoria; </w:t>
      </w:r>
      <w:r>
        <w:rPr>
          <w:color w:val="000000" w:themeColor="text1"/>
        </w:rPr>
      </w:r>
      <w:r/>
    </w:p>
    <w:p>
      <w:pPr>
        <w:ind w:left="0" w:firstLine="0"/>
        <w:jc w:val="both"/>
        <w:spacing w:before="0" w:after="0"/>
        <w:rPr>
          <w:color w:val="000000"/>
          <w:sz w:val="24"/>
        </w:rPr>
        <w:pBdr>
          <w:top w:val="none" w:color="000000" w:sz="4" w:space="0"/>
          <w:left w:val="none" w:color="000000" w:sz="4" w:space="0"/>
          <w:bottom w:val="none" w:color="000000" w:sz="4" w:space="0"/>
          <w:right w:val="none" w:color="000000" w:sz="4" w:space="0"/>
        </w:pBdr>
      </w:pPr>
      <w:r>
        <w:rPr>
          <w:color w:val="000000" w:themeColor="text1"/>
          <w:sz w:val="24"/>
        </w:rPr>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CONSIDERATO CHE:</w:t>
      </w:r>
      <w:r>
        <w:rPr>
          <w:color w:val="000000" w:themeColor="text1"/>
        </w:rPr>
      </w:r>
      <w:r/>
    </w:p>
    <w:p>
      <w:pPr>
        <w:numPr>
          <w:ilvl w:val="0"/>
          <w:numId w:val="2"/>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ai sensi dell’art. 4 delle NTA del P.U.C., che prevede l’espressione consiliare in merito alla localizzazione previa istruttoria tecnica anche mediante Conferenza dei Servizi, il Settore Pianificazione ha avviato il procedimento finalizzato alla verifica d</w:t>
      </w:r>
      <w:r>
        <w:rPr>
          <w:rFonts w:ascii="Times New Roman" w:hAnsi="Times New Roman" w:cs="Times New Roman" w:eastAsia="Times New Roman"/>
          <w:color w:val="000000" w:themeColor="text1"/>
          <w:sz w:val="24"/>
        </w:rPr>
        <w:t xml:space="preserve">ella compatibilità urbanistica e della sussistenza dell’interesse pubblico; </w:t>
      </w:r>
      <w:r>
        <w:rPr>
          <w:color w:val="000000" w:themeColor="text1"/>
        </w:rPr>
      </w:r>
      <w:r/>
    </w:p>
    <w:p>
      <w:pPr>
        <w:numPr>
          <w:ilvl w:val="0"/>
          <w:numId w:val="2"/>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con nota prot. n. 46365 del 29/12/2025, è stata indetta Conferenza dei Servizi istruttoria, ai sensi dell’art. 14, comma 1, della L. 241/1990, in forma semplificata e modalità asincrona, finalizzata all’acquisizione dei contributi tecnici degli enti compet</w:t>
      </w:r>
      <w:r>
        <w:rPr>
          <w:rFonts w:ascii="Times New Roman" w:hAnsi="Times New Roman" w:cs="Times New Roman" w:eastAsia="Times New Roman"/>
          <w:color w:val="000000" w:themeColor="text1"/>
          <w:sz w:val="24"/>
        </w:rPr>
        <w:t xml:space="preserve">enti; </w:t>
      </w:r>
      <w:r>
        <w:rPr>
          <w:color w:val="000000" w:themeColor="text1"/>
        </w:rPr>
      </w:r>
      <w:r/>
    </w:p>
    <w:p>
      <w:pPr>
        <w:numPr>
          <w:ilvl w:val="0"/>
          <w:numId w:val="2"/>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 la Conferenza dei Servizi è stata indetta con le seguenti finalità: </w:t>
      </w:r>
      <w:r>
        <w:rPr>
          <w:color w:val="000000" w:themeColor="text1"/>
        </w:rPr>
      </w:r>
      <w:r/>
    </w:p>
    <w:p>
      <w:pPr>
        <w:numPr>
          <w:ilvl w:val="0"/>
          <w:numId w:val="3"/>
        </w:numPr>
        <w:ind w:left="1134" w:right="0" w:hanging="283"/>
        <w:jc w:val="both"/>
        <w:spacing w:before="0" w:after="0"/>
        <w:tabs>
          <w:tab w:val="left" w:pos="850" w:leader="none"/>
          <w:tab w:val="left" w:pos="1134" w:leader="none"/>
        </w:tabs>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valutare la compatibilità dell’intervento con l’assetto urbanistico ed edilizio della zona; </w:t>
      </w:r>
      <w:r>
        <w:rPr>
          <w:color w:val="000000" w:themeColor="text1"/>
        </w:rPr>
      </w:r>
      <w:r/>
    </w:p>
    <w:p>
      <w:pPr>
        <w:numPr>
          <w:ilvl w:val="0"/>
          <w:numId w:val="3"/>
        </w:numPr>
        <w:ind w:left="1134" w:right="0" w:hanging="283"/>
        <w:jc w:val="both"/>
        <w:spacing w:before="0" w:after="0"/>
        <w:tabs>
          <w:tab w:val="left" w:pos="850" w:leader="none"/>
          <w:tab w:val="left" w:pos="1134" w:leader="none"/>
        </w:tabs>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verificare le interazioni con la viabilità e i flussi di traffico; </w:t>
      </w:r>
      <w:r>
        <w:rPr>
          <w:color w:val="000000" w:themeColor="text1"/>
        </w:rPr>
      </w:r>
      <w:r/>
    </w:p>
    <w:p>
      <w:pPr>
        <w:numPr>
          <w:ilvl w:val="0"/>
          <w:numId w:val="3"/>
        </w:numPr>
        <w:ind w:left="1134" w:right="0" w:hanging="283"/>
        <w:jc w:val="both"/>
        <w:spacing w:before="0" w:after="0"/>
        <w:tabs>
          <w:tab w:val="left" w:pos="850" w:leader="none"/>
          <w:tab w:val="left" w:pos="1134" w:leader="none"/>
        </w:tabs>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analizzare gli impatti sulla sicurezza, sulla salute pubblica e sulla struttura socio-economica del territorio; </w:t>
      </w:r>
      <w:r>
        <w:rPr>
          <w:color w:val="000000" w:themeColor="text1"/>
        </w:rPr>
      </w:r>
      <w:r/>
    </w:p>
    <w:p>
      <w:pPr>
        <w:numPr>
          <w:ilvl w:val="0"/>
          <w:numId w:val="3"/>
        </w:numPr>
        <w:ind w:left="1134" w:right="0" w:hanging="283"/>
        <w:jc w:val="both"/>
        <w:spacing w:before="0" w:after="0"/>
        <w:tabs>
          <w:tab w:val="left" w:pos="850" w:leader="none"/>
          <w:tab w:val="left" w:pos="1134" w:leader="none"/>
        </w:tabs>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accertare la sussistenza dell’interesse pubblico ai sensi dell’art. 4 delle NTA del PUC; </w:t>
      </w:r>
      <w:r>
        <w:rPr>
          <w:color w:val="000000" w:themeColor="text1"/>
        </w:rPr>
      </w:r>
      <w:r/>
    </w:p>
    <w:p>
      <w:pPr>
        <w:ind w:left="720" w:firstLine="0"/>
        <w:jc w:val="both"/>
        <w:spacing w:before="0" w:after="0"/>
        <w:tabs>
          <w:tab w:val="left" w:pos="709" w:leader="none"/>
        </w:tabs>
        <w:rPr>
          <w:color w:val="000000"/>
          <w:sz w:val="24"/>
        </w:rPr>
        <w:pBdr>
          <w:top w:val="none" w:color="000000" w:sz="4" w:space="0"/>
          <w:left w:val="none" w:color="000000" w:sz="4" w:space="0"/>
          <w:bottom w:val="none" w:color="000000" w:sz="4" w:space="0"/>
          <w:right w:val="none" w:color="000000" w:sz="4" w:space="0"/>
        </w:pBdr>
      </w:pPr>
      <w:r>
        <w:rPr>
          <w:color w:val="000000" w:themeColor="text1"/>
          <w:sz w:val="24"/>
        </w:rPr>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PRESO ATTO CHE alla Conferenza dei Servizi sono stati invitati e coinvolti i seguenti Enti e Settori competenti: </w:t>
      </w:r>
      <w:r>
        <w:rPr>
          <w:color w:val="000000" w:themeColor="text1"/>
        </w:rPr>
      </w:r>
      <w:r/>
    </w:p>
    <w:p>
      <w:pPr>
        <w:numPr>
          <w:ilvl w:val="0"/>
          <w:numId w:val="4"/>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ANAS S.p.A.; </w:t>
      </w:r>
      <w:r>
        <w:rPr>
          <w:color w:val="000000" w:themeColor="text1"/>
        </w:rPr>
      </w:r>
      <w:r/>
    </w:p>
    <w:p>
      <w:pPr>
        <w:numPr>
          <w:ilvl w:val="0"/>
          <w:numId w:val="4"/>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Autorità di Bacino Distrettuale dell’Appennino Centrale; </w:t>
      </w:r>
      <w:r>
        <w:rPr>
          <w:color w:val="000000" w:themeColor="text1"/>
        </w:rPr>
      </w:r>
      <w:r/>
    </w:p>
    <w:p>
      <w:pPr>
        <w:numPr>
          <w:ilvl w:val="0"/>
          <w:numId w:val="4"/>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Regione Marche (Mobilità, Genio Civile, Sanità, Protezione Civile); </w:t>
      </w:r>
      <w:r>
        <w:rPr>
          <w:color w:val="000000" w:themeColor="text1"/>
        </w:rPr>
      </w:r>
      <w:r/>
    </w:p>
    <w:p>
      <w:pPr>
        <w:numPr>
          <w:ilvl w:val="0"/>
          <w:numId w:val="4"/>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A.S.T. Ancona; </w:t>
      </w:r>
      <w:r>
        <w:rPr>
          <w:color w:val="000000" w:themeColor="text1"/>
        </w:rPr>
      </w:r>
      <w:r/>
    </w:p>
    <w:p>
      <w:pPr>
        <w:numPr>
          <w:ilvl w:val="0"/>
          <w:numId w:val="4"/>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Comando VV.F.; </w:t>
      </w:r>
      <w:r>
        <w:rPr>
          <w:color w:val="000000" w:themeColor="text1"/>
        </w:rPr>
      </w:r>
      <w:r/>
    </w:p>
    <w:p>
      <w:pPr>
        <w:numPr>
          <w:ilvl w:val="0"/>
          <w:numId w:val="4"/>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Consorzio di Bonifica Marche; </w:t>
      </w:r>
      <w:r>
        <w:rPr>
          <w:color w:val="000000" w:themeColor="text1"/>
        </w:rPr>
      </w:r>
      <w:r/>
    </w:p>
    <w:p>
      <w:pPr>
        <w:numPr>
          <w:ilvl w:val="0"/>
          <w:numId w:val="4"/>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Settori comunali competenti (SUEP, SUAP, Polizia Locale, Pianificazione); </w:t>
      </w:r>
      <w:r>
        <w:rPr>
          <w:color w:val="000000" w:themeColor="text1"/>
        </w:rPr>
      </w:r>
      <w:r/>
    </w:p>
    <w:p>
      <w:pPr>
        <w:ind w:left="0" w:right="0" w:firstLine="0"/>
        <w:jc w:val="both"/>
        <w:spacing w:before="0" w:after="0"/>
        <w:rPr>
          <w:rFonts w:ascii="Times New Roman" w:hAnsi="Times New Roman" w:cs="Times New Roman" w:eastAsia="Times New Roman"/>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nel corso della Conferenza sono stati acquisiti i contributi istruttori degli Enti e dei Settori competenti, come dettagliatamente riportati nel verbale della Conferenza dei Servizi istruttoria;</w:t>
      </w:r>
      <w:r>
        <w:rPr>
          <w:color w:val="000000" w:themeColor="text1"/>
        </w:rPr>
      </w:r>
      <w:r/>
    </w:p>
    <w:p>
      <w:pPr>
        <w:ind w:left="0" w:right="0" w:firstLine="0"/>
        <w:jc w:val="both"/>
        <w:spacing w:before="0" w:after="0"/>
        <w:rPr>
          <w:color w:val="000000"/>
          <w:sz w:val="24"/>
        </w:rPr>
        <w:pBdr>
          <w:top w:val="none" w:color="000000" w:sz="4" w:space="0"/>
          <w:left w:val="none" w:color="000000" w:sz="4" w:space="0"/>
          <w:bottom w:val="none" w:color="000000" w:sz="4" w:space="0"/>
          <w:right w:val="none" w:color="000000" w:sz="4" w:space="0"/>
        </w:pBdr>
      </w:pPr>
      <w:r>
        <w:rPr>
          <w:color w:val="000000" w:themeColor="text1"/>
          <w:sz w:val="24"/>
        </w:rPr>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DATO ATTO CHE la Conferenza dei Servizi ha natura esclusivamente istruttoria, non ha carattere decisorio né sostitutivo, non produce effetti di variante urbanistica ma costituisce supporto tecnico alla deliberazione del Consiglio Comunale prevista dall’art</w:t>
      </w:r>
      <w:r>
        <w:rPr>
          <w:rFonts w:ascii="Times New Roman" w:hAnsi="Times New Roman" w:cs="Times New Roman" w:eastAsia="Times New Roman"/>
          <w:color w:val="000000" w:themeColor="text1"/>
          <w:sz w:val="24"/>
        </w:rPr>
        <w:t xml:space="preserve">. 4 delle NTA del PUC; </w:t>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themeColor="text1"/>
          <w:sz w:val="24"/>
        </w:rPr>
        <w:t xml:space="preserve"> </w:t>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VISTO CHE all’esito della Conferenza dei Servizi in data 28/02/2026 è stato redatto il verbale conclusivo, sottoscritto in data 02/03/2026 contenente: </w:t>
      </w:r>
      <w:r>
        <w:rPr>
          <w:color w:val="000000" w:themeColor="text1"/>
        </w:rPr>
      </w:r>
      <w:r/>
    </w:p>
    <w:p>
      <w:pPr>
        <w:numPr>
          <w:ilvl w:val="0"/>
          <w:numId w:val="5"/>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la ricognizione dei contributi acquisiti; </w:t>
      </w:r>
      <w:r>
        <w:rPr>
          <w:color w:val="000000" w:themeColor="text1"/>
        </w:rPr>
      </w:r>
      <w:r/>
    </w:p>
    <w:p>
      <w:pPr>
        <w:numPr>
          <w:ilvl w:val="0"/>
          <w:numId w:val="5"/>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la valutazione tecnica degli stessi; </w:t>
      </w:r>
      <w:r>
        <w:rPr>
          <w:color w:val="000000" w:themeColor="text1"/>
        </w:rPr>
      </w:r>
      <w:r/>
    </w:p>
    <w:p>
      <w:pPr>
        <w:numPr>
          <w:ilvl w:val="0"/>
          <w:numId w:val="5"/>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il quadro istruttorio complessivo; </w:t>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themeColor="text1"/>
          <w:sz w:val="24"/>
        </w:rPr>
        <w:t xml:space="preserve"> </w:t>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PRESO ATTO del parere conclusivo sulla localizzazione redatto dal Settore Pianificazione e trasmesso con prot. </w:t>
      </w:r>
      <w:r>
        <w:rPr>
          <w:rFonts w:ascii="Times New Roman" w:hAnsi="Times New Roman" w:cs="Times New Roman" w:eastAsia="Times New Roman"/>
          <w:color w:val="000000" w:themeColor="text1"/>
          <w:sz w:val="24"/>
        </w:rPr>
        <w:t xml:space="preserve">ID: 1482766|24/04/2026|D3</w:t>
      </w:r>
      <w:r>
        <w:rPr>
          <w:rFonts w:ascii="Times New Roman" w:hAnsi="Times New Roman" w:cs="Times New Roman" w:eastAsia="Times New Roman"/>
          <w:color w:val="000000" w:themeColor="text1"/>
          <w:sz w:val="24"/>
        </w:rPr>
        <w:t xml:space="preserve"> del 24/04/2026;</w:t>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themeColor="text1"/>
          <w:sz w:val="24"/>
        </w:rPr>
        <w:t xml:space="preserve"> </w:t>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DATO ATTO CHE il verbale, unitamente al parere istruttorio del Settore Pianificazione, costituiscono parte integrante e sostanziale del presente atto e rappresentano il riferimento tecnico per la decisione consiliare;</w:t>
      </w:r>
      <w:r>
        <w:rPr>
          <w:color w:val="000000" w:themeColor="text1"/>
        </w:rPr>
      </w:r>
      <w:r/>
    </w:p>
    <w:p>
      <w:pPr>
        <w:ind w:left="0" w:right="0" w:firstLine="0"/>
        <w:jc w:val="both"/>
        <w:spacing w:before="0" w:after="0"/>
        <w:rPr>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highlight w:val="none"/>
        </w:rPr>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DATO ATTO CHE successivamente alla chiusura della conferenza dei servizi e della firma del verbale conclusivo è pervenuto con ID: 1462835|02/03/2026|D1_11 il parere della Polizia Locale che non rileva motivi ostativi alla modifica richiesta con le seguenti</w:t>
      </w:r>
      <w:r>
        <w:rPr>
          <w:rFonts w:ascii="Times New Roman" w:hAnsi="Times New Roman" w:cs="Times New Roman" w:eastAsia="Times New Roman"/>
          <w:color w:val="000000" w:themeColor="text1"/>
          <w:sz w:val="24"/>
        </w:rPr>
        <w:t xml:space="preserve"> prescrizioni:</w:t>
      </w:r>
      <w:r>
        <w:rPr>
          <w:color w:val="000000" w:themeColor="text1"/>
        </w:rPr>
      </w:r>
      <w:r/>
    </w:p>
    <w:p>
      <w:pPr>
        <w:numPr>
          <w:ilvl w:val="0"/>
          <w:numId w:val="6"/>
        </w:numPr>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themeColor="text1"/>
          <w:sz w:val="24"/>
        </w:rPr>
        <w:t xml:space="preserve">Tutta la segnaletica stradale sia essa verticale, orizzontale e complementare, necessaria a identificare gli spazi di sosta, le aree di manovra e i percorsi protetti, dovrà essere realizzata in maniera conforme, secondo quanto stabilito dal Nuovo Codice de</w:t>
      </w:r>
      <w:r>
        <w:rPr>
          <w:rFonts w:ascii="Times New Roman" w:hAnsi="Times New Roman" w:cs="Times New Roman" w:eastAsia="Times New Roman"/>
          <w:i/>
          <w:color w:val="000000" w:themeColor="text1"/>
          <w:sz w:val="24"/>
        </w:rPr>
        <w:t xml:space="preserve">lla Strada (D. Lgs. 285/1992) e dal relativo regolamento di esecuzione e attuazione (D.P.R. 495/1992); </w:t>
      </w:r>
      <w:r>
        <w:rPr>
          <w:color w:val="000000" w:themeColor="text1"/>
        </w:rPr>
      </w:r>
      <w:r/>
    </w:p>
    <w:p>
      <w:pPr>
        <w:numPr>
          <w:ilvl w:val="0"/>
          <w:numId w:val="6"/>
        </w:numPr>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themeColor="text1"/>
          <w:sz w:val="24"/>
        </w:rPr>
        <w:t xml:space="preserve">L’uscita in direzione Ancona, come indicato nelle tavole di viabilità interne all’area e allegate al progetto, dovrà essere segnalata con il posizionamento all’interno del piazzale di idonea, anche nel numero, di segnaletica direzionale conforme a quanto s</w:t>
      </w:r>
      <w:r>
        <w:rPr>
          <w:rFonts w:ascii="Times New Roman" w:hAnsi="Times New Roman" w:cs="Times New Roman" w:eastAsia="Times New Roman"/>
          <w:i/>
          <w:color w:val="000000" w:themeColor="text1"/>
          <w:sz w:val="24"/>
        </w:rPr>
        <w:t xml:space="preserve">tabilito dal Nuovo Codice della Strada (D. Lgs. 285/1992) e dal relativo regolamento di esecuzione e attuazione (D.P.R. 495/1992); </w:t>
      </w:r>
      <w:r>
        <w:rPr>
          <w:color w:val="000000" w:themeColor="text1"/>
        </w:rPr>
      </w:r>
      <w:r/>
    </w:p>
    <w:p>
      <w:pPr>
        <w:numPr>
          <w:ilvl w:val="0"/>
          <w:numId w:val="6"/>
        </w:numPr>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themeColor="text1"/>
          <w:sz w:val="24"/>
        </w:rPr>
        <w:t xml:space="preserve">Tutta la segnaletica sopra indicata dovrà essere mantenuta in modo perfettamente efficiente, in particolare quella orizzontale con rinnovamento periodico in base alle necessita. </w:t>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 </w:t>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CONSIDERATO CHE:</w:t>
      </w:r>
      <w:r>
        <w:rPr>
          <w:color w:val="000000" w:themeColor="text1"/>
        </w:rPr>
      </w:r>
      <w:r/>
    </w:p>
    <w:p>
      <w:pPr>
        <w:numPr>
          <w:ilvl w:val="0"/>
          <w:numId w:val="7"/>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ai sensi dell’art. 4 delle NTA del PUC, la deliberazione consiliare richiesta non costituisce atto dovuto, ma espressione di valutazione discrezionale in ordine alla sussistenza dell’interesse pubblico, da esercitarsi sulla base del quadro normativo e pian</w:t>
      </w:r>
      <w:r>
        <w:rPr>
          <w:rFonts w:ascii="Times New Roman" w:hAnsi="Times New Roman" w:cs="Times New Roman" w:eastAsia="Times New Roman"/>
          <w:color w:val="000000" w:themeColor="text1"/>
          <w:sz w:val="24"/>
        </w:rPr>
        <w:t xml:space="preserve">ificatorio vigente e delle risultanze istruttorie acquisite; </w:t>
      </w:r>
      <w:r>
        <w:rPr>
          <w:color w:val="000000" w:themeColor="text1"/>
        </w:rPr>
      </w:r>
      <w:r/>
    </w:p>
    <w:p>
      <w:pPr>
        <w:numPr>
          <w:ilvl w:val="0"/>
          <w:numId w:val="7"/>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la Conferenza dei Servizi istruttoria ha evidenziato un quadro tecnico-amministrativo nel quale risultano coinvolti interessi pubblici primari, tra cui la tutela della pubblica incolumità, la sicurezza del territorio e la coerenza con la pianificazione di </w:t>
      </w:r>
      <w:r>
        <w:rPr>
          <w:rFonts w:ascii="Times New Roman" w:hAnsi="Times New Roman" w:cs="Times New Roman" w:eastAsia="Times New Roman"/>
          <w:color w:val="000000" w:themeColor="text1"/>
          <w:sz w:val="24"/>
        </w:rPr>
        <w:t xml:space="preserve">bacino; </w:t>
      </w:r>
      <w:r>
        <w:rPr>
          <w:color w:val="000000" w:themeColor="text1"/>
        </w:rPr>
      </w:r>
      <w:r/>
    </w:p>
    <w:p>
      <w:pPr>
        <w:numPr>
          <w:ilvl w:val="0"/>
          <w:numId w:val="7"/>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in particolare: </w:t>
      </w:r>
      <w:r>
        <w:rPr>
          <w:color w:val="000000" w:themeColor="text1"/>
        </w:rPr>
      </w:r>
      <w:r/>
    </w:p>
    <w:p>
      <w:pPr>
        <w:numPr>
          <w:ilvl w:val="0"/>
          <w:numId w:val="8"/>
        </w:numPr>
        <w:jc w:val="both"/>
        <w:spacing w:before="0" w:after="0"/>
        <w:tabs>
          <w:tab w:val="left" w:pos="720" w:leader="none"/>
        </w:tabs>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l’area oggetto di intervento risulta classificata dal PAI come area a rischio idraulico molto elevato (R4), classificazione tuttora vigente e non modificata mediante procedimento formale; </w:t>
      </w:r>
      <w:r>
        <w:rPr>
          <w:color w:val="000000" w:themeColor="text1"/>
        </w:rPr>
      </w:r>
      <w:r/>
    </w:p>
    <w:p>
      <w:pPr>
        <w:numPr>
          <w:ilvl w:val="0"/>
          <w:numId w:val="8"/>
        </w:numPr>
        <w:jc w:val="both"/>
        <w:spacing w:before="0" w:after="0"/>
        <w:tabs>
          <w:tab w:val="left" w:pos="720" w:leader="none"/>
        </w:tabs>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le opere di mitigazione idraulica richiamate nel corso del procedimento non risultano completate, collaudate né recepite negli strumenti pianificatori competenti, e pertanto non sono idonee a produrre effetti giuridici anticipati; </w:t>
      </w:r>
      <w:r>
        <w:rPr>
          <w:color w:val="000000" w:themeColor="text1"/>
        </w:rPr>
      </w:r>
      <w:r/>
    </w:p>
    <w:p>
      <w:pPr>
        <w:numPr>
          <w:ilvl w:val="0"/>
          <w:numId w:val="8"/>
        </w:numPr>
        <w:jc w:val="both"/>
        <w:spacing w:before="0" w:after="0"/>
        <w:tabs>
          <w:tab w:val="left" w:pos="720" w:leader="none"/>
        </w:tabs>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l’Autorità di Bacino non ha rilevato ulteriori valutazioni rispetto a quanto già precedentemente espresso con nota prot. 1353 del 15/01/2024 ribadendo quindi che “</w:t>
      </w:r>
      <w:r>
        <w:rPr>
          <w:rFonts w:ascii="Times New Roman" w:hAnsi="Times New Roman" w:cs="Times New Roman" w:eastAsia="Times New Roman"/>
          <w:i/>
          <w:color w:val="000000" w:themeColor="text1"/>
          <w:sz w:val="24"/>
        </w:rPr>
        <w:t xml:space="preserve">appare evidente che lo scenario di mitigazione proposto dal Comune nel 2011 verrebbe sostituito da uno scenario meno cautelativo, quale quello che si delineerebbe con l’aumento dell’esposizione e quindi del livello di rischio</w:t>
      </w:r>
      <w:r>
        <w:rPr>
          <w:rFonts w:ascii="Times New Roman" w:hAnsi="Times New Roman" w:cs="Times New Roman" w:eastAsia="Times New Roman"/>
          <w:color w:val="000000" w:themeColor="text1"/>
          <w:sz w:val="24"/>
        </w:rPr>
        <w:t xml:space="preserve"> e pertanto “</w:t>
      </w:r>
      <w:r>
        <w:rPr>
          <w:rFonts w:ascii="Times New Roman" w:hAnsi="Times New Roman" w:cs="Times New Roman" w:eastAsia="Times New Roman"/>
          <w:i/>
          <w:color w:val="000000" w:themeColor="text1"/>
          <w:sz w:val="24"/>
        </w:rPr>
        <w:t xml:space="preserve">non si ravvedono le condizioni per cui il Comune possa superare il precedente parere dell’Autorità di Bacino regionale”</w:t>
      </w:r>
      <w:r>
        <w:rPr>
          <w:rFonts w:ascii="Times New Roman" w:hAnsi="Times New Roman" w:cs="Times New Roman" w:eastAsia="Times New Roman"/>
          <w:color w:val="000000" w:themeColor="text1"/>
          <w:sz w:val="24"/>
        </w:rPr>
        <w:t xml:space="preserve">; </w:t>
      </w:r>
      <w:r>
        <w:rPr>
          <w:color w:val="000000" w:themeColor="text1"/>
        </w:rPr>
      </w:r>
      <w:r/>
    </w:p>
    <w:p>
      <w:pPr>
        <w:numPr>
          <w:ilvl w:val="0"/>
          <w:numId w:val="7"/>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la destinazione proposta (struttura sanitaria): </w:t>
      </w:r>
      <w:r>
        <w:rPr>
          <w:color w:val="000000" w:themeColor="text1"/>
        </w:rPr>
      </w:r>
      <w:r/>
    </w:p>
    <w:p>
      <w:pPr>
        <w:numPr>
          <w:ilvl w:val="0"/>
          <w:numId w:val="8"/>
        </w:numPr>
        <w:jc w:val="both"/>
        <w:spacing w:before="0" w:after="0"/>
        <w:tabs>
          <w:tab w:val="left" w:pos="720" w:leader="none"/>
        </w:tabs>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comporta incremento dell’esposizione al rischio e presenza di utenza vulnerabile; </w:t>
      </w:r>
      <w:r>
        <w:rPr>
          <w:color w:val="000000" w:themeColor="text1"/>
        </w:rPr>
      </w:r>
      <w:r/>
    </w:p>
    <w:p>
      <w:pPr>
        <w:numPr>
          <w:ilvl w:val="0"/>
          <w:numId w:val="8"/>
        </w:numPr>
        <w:jc w:val="both"/>
        <w:spacing w:before="0" w:after="0"/>
        <w:tabs>
          <w:tab w:val="left" w:pos="720" w:leader="none"/>
        </w:tabs>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introduce una funzione strategica che richiede continuità operativa anche in condizioni di emergenza, risultando pertanto particolarmente sensibile sotto il profilo localizzativo; </w:t>
      </w:r>
      <w:r>
        <w:rPr>
          <w:color w:val="000000" w:themeColor="text1"/>
        </w:rPr>
      </w:r>
      <w:r/>
    </w:p>
    <w:p>
      <w:pPr>
        <w:numPr>
          <w:ilvl w:val="0"/>
          <w:numId w:val="7"/>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la normativa vigente in materia di protezione civile e gestione del rischio impone criteri di prudenza e prevenzione, orientati anche ad evitare l’insediamento di nuove funzioni sensibili in aree a rischio elevato; </w:t>
      </w:r>
      <w:r>
        <w:rPr>
          <w:color w:val="000000" w:themeColor="text1"/>
        </w:rPr>
      </w:r>
      <w:r/>
    </w:p>
    <w:p>
      <w:pPr>
        <w:numPr>
          <w:ilvl w:val="0"/>
          <w:numId w:val="7"/>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la valutazione dell’interesse pubblico, ai sensi dell’art. 4 delle NTA del PUC, deve essere effettuata con riferimento al quadro giuridico e pianificatorio vigente al momento della decisione, non potendo fondarsi su condizioni future, eventuali o non ancor</w:t>
      </w:r>
      <w:r>
        <w:rPr>
          <w:rFonts w:ascii="Times New Roman" w:hAnsi="Times New Roman" w:cs="Times New Roman" w:eastAsia="Times New Roman"/>
          <w:color w:val="000000" w:themeColor="text1"/>
          <w:sz w:val="24"/>
        </w:rPr>
        <w:t xml:space="preserve">a formalizzate; </w:t>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 </w:t>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RILEVATO CHE la giurisprudenza amministrativa è costante nel ritenere che l’interesse pubblico non coincide con la mera utilità dell’intervento, ma richiede una valutazione comparativa e concreta tra interessi contrapposti; </w:t>
      </w:r>
      <w:r>
        <w:rPr>
          <w:color w:val="000000" w:themeColor="text1"/>
        </w:rPr>
      </w:r>
      <w:r/>
    </w:p>
    <w:p>
      <w:pPr>
        <w:numPr>
          <w:ilvl w:val="0"/>
          <w:numId w:val="7"/>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nell’ambito delle valutazioni urbanistiche, l’Amministrazione è titolare di un’ampia discrezionalità, sindacabile solo nei casi di manifesta illogicità; </w:t>
      </w:r>
      <w:r>
        <w:rPr>
          <w:color w:val="000000" w:themeColor="text1"/>
        </w:rPr>
      </w:r>
      <w:r/>
    </w:p>
    <w:p>
      <w:pPr>
        <w:numPr>
          <w:ilvl w:val="0"/>
          <w:numId w:val="7"/>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la localizzazione di strutture sanitarie, non costituisce di per sé un interesse pubblico prevalente, dovendo essere verificata la compatibilità urbanistica, territoriale e ambientale, nonché al rispetto dei vincoli insistenti sull’area; </w:t>
      </w:r>
      <w:r>
        <w:rPr>
          <w:color w:val="000000" w:themeColor="text1"/>
        </w:rPr>
      </w:r>
      <w:r/>
    </w:p>
    <w:p>
      <w:pPr>
        <w:numPr>
          <w:ilvl w:val="0"/>
          <w:numId w:val="7"/>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le scelte urbanistiche possono legittimamente essere improntate a criteri di precauzione, prevenzione e tutela della sicurezza pubblica e ambientale, anche a fronte di interventi astrattamente utili;</w:t>
      </w:r>
      <w:r>
        <w:rPr>
          <w:color w:val="000000" w:themeColor="text1"/>
        </w:rPr>
      </w:r>
      <w:r/>
    </w:p>
    <w:p>
      <w:pPr>
        <w:ind w:left="0" w:firstLine="0"/>
        <w:jc w:val="both"/>
        <w:spacing w:before="0" w:after="0"/>
        <w:tabs>
          <w:tab w:val="left" w:pos="709" w:leader="none"/>
        </w:tabs>
        <w:rPr>
          <w:color w:val="000000"/>
          <w:sz w:val="24"/>
        </w:rPr>
        <w:pBdr>
          <w:top w:val="none" w:color="000000" w:sz="4" w:space="0"/>
          <w:left w:val="none" w:color="000000" w:sz="4" w:space="0"/>
          <w:bottom w:val="none" w:color="000000" w:sz="4" w:space="0"/>
          <w:right w:val="none" w:color="000000" w:sz="4" w:space="0"/>
        </w:pBdr>
      </w:pPr>
      <w:r>
        <w:rPr>
          <w:color w:val="000000" w:themeColor="text1"/>
          <w:sz w:val="24"/>
        </w:rPr>
      </w:r>
      <w:r>
        <w:rPr>
          <w:color w:val="000000" w:themeColor="text1"/>
          <w:sz w:val="24"/>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P</w:t>
      </w:r>
      <w:r>
        <w:rPr>
          <w:rFonts w:ascii="Times New Roman" w:hAnsi="Times New Roman" w:cs="Times New Roman" w:eastAsia="Times New Roman"/>
          <w:color w:val="000000" w:themeColor="text1"/>
          <w:sz w:val="24"/>
        </w:rPr>
        <w:t xml:space="preserve">RECISATO CHE la presente valutazione non esprime un giudizio sull’intervento in sé, né sulla tipologia di attività proposta, ma attiene esclusivamente alla verifica della sussistenza dell’interesse pubblico nella specifica localizzazione e nel contesto att</w:t>
      </w:r>
      <w:r>
        <w:rPr>
          <w:rFonts w:ascii="Times New Roman" w:hAnsi="Times New Roman" w:cs="Times New Roman" w:eastAsia="Times New Roman"/>
          <w:color w:val="000000" w:themeColor="text1"/>
          <w:sz w:val="24"/>
        </w:rPr>
        <w:t xml:space="preserve">uale in particolare tenendo conto delle condizioni giuridiche e tecniche per la riduzione del rischio idraulico, della classificazione R4, della mancata conclusione delle opere di mitigazione;</w:t>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themeColor="text1"/>
          <w:sz w:val="24"/>
        </w:rPr>
        <w:t xml:space="preserve"> </w:t>
      </w:r>
      <w:r>
        <w:rPr>
          <w:color w:val="000000" w:themeColor="text1"/>
        </w:rPr>
      </w:r>
      <w:r/>
    </w:p>
    <w:p>
      <w:pPr>
        <w:ind w:left="0" w:right="0" w:firstLine="0"/>
        <w:jc w:val="both"/>
        <w:spacing w:before="0" w:after="0" w:line="276" w:lineRule="atLeast"/>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RILEVATO TUTTAVIA CHE:</w:t>
      </w:r>
      <w:r>
        <w:rPr>
          <w:color w:val="000000" w:themeColor="text1"/>
        </w:rPr>
      </w:r>
      <w:r/>
    </w:p>
    <w:p>
      <w:pPr>
        <w:numPr>
          <w:ilvl w:val="0"/>
          <w:numId w:val="9"/>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nell’ambito dell’istruttoria tecnica sono state acquisite le valutazioni del competente Servizio regionale (Genio Civile), il quale, </w:t>
      </w:r>
      <w:r>
        <w:rPr>
          <w:rFonts w:ascii="Times New Roman" w:hAnsi="Times New Roman" w:cs="Times New Roman" w:eastAsia="Times New Roman"/>
          <w:i/>
          <w:color w:val="000000" w:themeColor="text1"/>
          <w:sz w:val="24"/>
        </w:rPr>
        <w:t xml:space="preserve">in merito agli effetti dell’intervento di messa in sicurezza idraulica in termini di riduzione del rischio idraulico</w:t>
      </w:r>
      <w:r>
        <w:rPr>
          <w:rFonts w:ascii="Times New Roman" w:hAnsi="Times New Roman" w:cs="Times New Roman" w:eastAsia="Times New Roman"/>
          <w:color w:val="000000" w:themeColor="text1"/>
          <w:sz w:val="24"/>
        </w:rPr>
        <w:t xml:space="preserve">, ha richiamato “</w:t>
      </w:r>
      <w:r>
        <w:rPr>
          <w:rFonts w:ascii="Times New Roman" w:hAnsi="Times New Roman" w:cs="Times New Roman" w:eastAsia="Times New Roman"/>
          <w:i/>
          <w:color w:val="000000" w:themeColor="text1"/>
          <w:sz w:val="24"/>
        </w:rPr>
        <w:t xml:space="preserve">la Relazione Idraulica allegata al progetto esecutivo (elab. 4.RM-FOSSO.OFFAGNA-PE-RS002), all’allegato A1-Profilo idraulico Fosso Offagna e Rio Scaricalasino, in cui si evince che a seguito degli interventi previsti il rischio di esondazione in tale tratt</w:t>
      </w:r>
      <w:r>
        <w:rPr>
          <w:rFonts w:ascii="Times New Roman" w:hAnsi="Times New Roman" w:cs="Times New Roman" w:eastAsia="Times New Roman"/>
          <w:i/>
          <w:color w:val="000000" w:themeColor="text1"/>
          <w:sz w:val="24"/>
        </w:rPr>
        <w:t xml:space="preserve">o è mitigato e il livello di massima piena è contenuto all’interno delle sezioni, considerando la presenza: </w:t>
      </w:r>
      <w:r>
        <w:rPr>
          <w:color w:val="000000" w:themeColor="text1"/>
        </w:rPr>
      </w:r>
      <w:r/>
    </w:p>
    <w:p>
      <w:pPr>
        <w:ind w:left="284" w:right="0" w:firstLine="0"/>
        <w:jc w:val="both"/>
        <w:spacing w:before="0" w:after="160" w:line="240" w:lineRule="auto"/>
        <w:rPr>
          <w:rFonts w:ascii="Times New Roman" w:hAnsi="Times New Roman" w:cs="Times New Roman" w:eastAsia="Times New Roman"/>
          <w:i/>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themeColor="text1"/>
          <w:sz w:val="24"/>
        </w:rPr>
        <w:t xml:space="preserve">▪ delle casse di laminazione 3d, 3c e 3b2 a monte; </w:t>
      </w:r>
      <w:r>
        <w:rPr>
          <w:color w:val="000000" w:themeColor="text1"/>
          <w:sz w:val="24"/>
        </w:rPr>
      </w:r>
      <w:r/>
    </w:p>
    <w:p>
      <w:pPr>
        <w:ind w:left="284" w:right="0" w:firstLine="0"/>
        <w:jc w:val="both"/>
        <w:spacing w:before="0" w:after="160" w:line="240" w:lineRule="auto"/>
        <w:rPr>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themeColor="text1"/>
          <w:sz w:val="24"/>
        </w:rPr>
      </w:r>
      <w:r>
        <w:rPr>
          <w:rFonts w:ascii="Times New Roman" w:hAnsi="Times New Roman" w:cs="Times New Roman" w:eastAsia="Times New Roman"/>
          <w:i/>
          <w:color w:val="000000" w:themeColor="text1"/>
          <w:sz w:val="24"/>
        </w:rPr>
        <w:t xml:space="preserve">▪ delle casse di laminazione 4a a valle; </w:t>
      </w:r>
      <w:r>
        <w:rPr>
          <w:color w:val="000000" w:themeColor="text1"/>
          <w:sz w:val="24"/>
        </w:rPr>
      </w:r>
      <w:r/>
    </w:p>
    <w:p>
      <w:pPr>
        <w:ind w:left="284" w:right="0" w:firstLine="0"/>
        <w:jc w:val="both"/>
        <w:spacing w:before="0" w:after="160" w:line="240" w:lineRule="auto"/>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themeColor="text1"/>
          <w:sz w:val="24"/>
        </w:rPr>
        <w:t xml:space="preserve">▪ risezionamento del Fosso Offagna a valle dell’attraversamento lungo via d’Ancona; </w:t>
      </w:r>
      <w:r>
        <w:rPr>
          <w:color w:val="000000" w:themeColor="text1"/>
        </w:rPr>
      </w:r>
      <w:r/>
    </w:p>
    <w:p>
      <w:pPr>
        <w:ind w:left="284" w:right="0" w:firstLine="0"/>
        <w:jc w:val="both"/>
        <w:spacing w:before="0" w:after="160" w:line="240" w:lineRule="auto"/>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themeColor="text1"/>
          <w:sz w:val="24"/>
        </w:rPr>
        <w:t xml:space="preserve">▪ pulizia del Fosso Offagna a monte dell’attraversamento lungo via d’Ancona fino alla cassa di monte. </w:t>
      </w:r>
      <w:r>
        <w:rPr>
          <w:color w:val="000000" w:themeColor="text1"/>
        </w:rPr>
      </w:r>
      <w:r/>
    </w:p>
    <w:p>
      <w:pPr>
        <w:numPr>
          <w:ilvl w:val="0"/>
          <w:numId w:val="9"/>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il medesimo Settore regionale Genio Civile Marche Nord in </w:t>
      </w:r>
      <w:r>
        <w:rPr>
          <w:rFonts w:ascii="Times New Roman" w:hAnsi="Times New Roman" w:cs="Times New Roman" w:eastAsia="Times New Roman"/>
          <w:color w:val="000000" w:themeColor="text1"/>
          <w:sz w:val="24"/>
          <w:u w:val="single"/>
        </w:rPr>
        <w:t xml:space="preserve">considerazione del fatto che</w:t>
      </w:r>
      <w:r>
        <w:rPr>
          <w:rFonts w:ascii="Times New Roman" w:hAnsi="Times New Roman" w:cs="Times New Roman" w:eastAsia="Times New Roman"/>
          <w:color w:val="000000" w:themeColor="text1"/>
          <w:sz w:val="24"/>
        </w:rPr>
        <w:t xml:space="preserve"> “</w:t>
      </w:r>
      <w:r>
        <w:rPr>
          <w:rFonts w:ascii="Times New Roman" w:hAnsi="Times New Roman" w:cs="Times New Roman" w:eastAsia="Times New Roman"/>
          <w:i/>
          <w:color w:val="000000" w:themeColor="text1"/>
          <w:sz w:val="24"/>
        </w:rPr>
        <w:t xml:space="preserve">l’area di intervento ricade all’interno dell’area esondabile censita nel Piano Stralcio dell’Assetto idrogeologico (PAI) dei bacini regionali, con cod. E-14-0032 “R4”, e per poter attuare la mitigazione e l’eventuale modifica della classificazione di peric</w:t>
      </w:r>
      <w:r>
        <w:rPr>
          <w:rFonts w:ascii="Times New Roman" w:hAnsi="Times New Roman" w:cs="Times New Roman" w:eastAsia="Times New Roman"/>
          <w:i/>
          <w:color w:val="000000" w:themeColor="text1"/>
          <w:sz w:val="24"/>
        </w:rPr>
        <w:t xml:space="preserve">olosità e/o rischio idraulico (deperimetrazione o riclassificazione) conseguente alla realizzazione e messa in esercizio delle opere rischio, ai sensi dell’art. 19</w:t>
      </w:r>
      <w:r>
        <w:rPr>
          <w:rFonts w:ascii="Times New Roman" w:hAnsi="Times New Roman" w:cs="Times New Roman" w:eastAsia="Times New Roman"/>
          <w:color w:val="000000" w:themeColor="text1"/>
          <w:sz w:val="24"/>
        </w:rPr>
        <w:t xml:space="preserve"> </w:t>
      </w:r>
      <w:r>
        <w:rPr>
          <w:rFonts w:ascii="Times New Roman" w:hAnsi="Times New Roman" w:cs="Times New Roman" w:eastAsia="Times New Roman"/>
          <w:i/>
          <w:color w:val="000000" w:themeColor="text1"/>
          <w:sz w:val="24"/>
        </w:rPr>
        <w:t xml:space="preserve">Modifica alle aree delle NA del PAI, al comma 1 riporta: “Gli Enti Locali ed i soggetti provati possono presentare istanza all’Autorità di bacino (oggi AUBAC), corredata da documentazione tecnico-grafica adeguata in relazione alla tipologia del fenomeno ed</w:t>
      </w:r>
      <w:r>
        <w:rPr>
          <w:rFonts w:ascii="Times New Roman" w:hAnsi="Times New Roman" w:cs="Times New Roman" w:eastAsia="Times New Roman"/>
          <w:i/>
          <w:color w:val="000000" w:themeColor="text1"/>
          <w:sz w:val="24"/>
        </w:rPr>
        <w:t xml:space="preserve"> all’oggetto della richiesta, per l’inserimento, la modifica parziale o l’eliminazione di aree e per la variazione dei livelli di rischio e di pericolosità presente nel PAI […]. Le istanze dei soggetti privati vanno presentate anche ai Comuni territorialme</w:t>
      </w:r>
      <w:r>
        <w:rPr>
          <w:rFonts w:ascii="Times New Roman" w:hAnsi="Times New Roman" w:cs="Times New Roman" w:eastAsia="Times New Roman"/>
          <w:i/>
          <w:color w:val="000000" w:themeColor="text1"/>
          <w:sz w:val="24"/>
        </w:rPr>
        <w:t xml:space="preserve">nte interessati, nonché, qualora riguardino la fascia di territorio inondabile di cui all’art.7, anche alla Autorità Idraulica territorialmente competente (oggi Genio Civile Marche Nord), i quali inviano all’Autorità di bacino (oggi AUBAC) una propria rela</w:t>
      </w:r>
      <w:r>
        <w:rPr>
          <w:rFonts w:ascii="Times New Roman" w:hAnsi="Times New Roman" w:cs="Times New Roman" w:eastAsia="Times New Roman"/>
          <w:i/>
          <w:color w:val="000000" w:themeColor="text1"/>
          <w:sz w:val="24"/>
        </w:rPr>
        <w:t xml:space="preserve">zione o parere sulla richiesta” </w:t>
      </w:r>
      <w:r>
        <w:rPr>
          <w:rFonts w:ascii="Times New Roman" w:hAnsi="Times New Roman" w:cs="Times New Roman" w:eastAsia="Times New Roman"/>
          <w:color w:val="000000" w:themeColor="text1"/>
          <w:sz w:val="24"/>
          <w:u w:val="single"/>
        </w:rPr>
        <w:t xml:space="preserve">si riserva di esprimersi in merito, solo al compimento dei lavori programmati, comprensivo di collaudo delle opere, in coerenza con l’art. 19 delle NA del PAI e delle NTA del PRG del Comune di Osimo</w:t>
      </w:r>
      <w:r>
        <w:rPr>
          <w:rFonts w:ascii="Times New Roman" w:hAnsi="Times New Roman" w:cs="Times New Roman" w:eastAsia="Times New Roman"/>
          <w:color w:val="000000" w:themeColor="text1"/>
          <w:sz w:val="24"/>
        </w:rPr>
        <w:t xml:space="preserve">;</w:t>
      </w:r>
      <w:r>
        <w:rPr>
          <w:color w:val="000000" w:themeColor="text1"/>
        </w:rPr>
      </w:r>
      <w:r/>
    </w:p>
    <w:p>
      <w:pPr>
        <w:ind w:left="0" w:firstLine="0"/>
        <w:jc w:val="both"/>
        <w:spacing w:before="0" w:after="0"/>
        <w:tabs>
          <w:tab w:val="left" w:pos="709" w:leader="none"/>
        </w:tabs>
        <w:rPr>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highlight w:val="none"/>
        </w:rPr>
      </w:r>
      <w:r>
        <w:rPr>
          <w:color w:val="000000" w:themeColor="text1"/>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PRESO ATTO degli interventi programmati, richiamati nel parere del Settore regionale Genio Civile Marche Nord prot. 5298 del 12/02/2026 e del loro stato di attuazione e precisamente:</w:t>
      </w:r>
      <w:r>
        <w:rPr>
          <w:color w:val="000000" w:themeColor="text1"/>
        </w:rPr>
      </w:r>
      <w:r/>
    </w:p>
    <w:p>
      <w:pPr>
        <w:numPr>
          <w:ilvl w:val="0"/>
          <w:numId w:val="10"/>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progetto esecutivo delle “casse di espansione in linea nel bacino del Rio Scaricalasino e dei suoi due affluenti Fossi Offagna e San Valentino, nel Comune di Osimo Stazione” a cura della società in-house Bonifica Marche Engineering S.r.l. del Consorzio di </w:t>
      </w:r>
      <w:r>
        <w:rPr>
          <w:rFonts w:ascii="Times New Roman" w:hAnsi="Times New Roman" w:cs="Times New Roman" w:eastAsia="Times New Roman"/>
          <w:color w:val="000000" w:themeColor="text1"/>
          <w:sz w:val="24"/>
        </w:rPr>
        <w:t xml:space="preserve">Bonifica delle Marche, in cui i lavori consistono in un sistema di laminazione delle piene attraverso la realizzazione di 1 vasca di laminazione nel Fosso San Valentino (2a), n.2 vasche nel Fosso Offagna (3b2-3c) e n.2 vasche ne Rio Scaricalasino (4a-4b). </w:t>
      </w:r>
      <w:r>
        <w:rPr>
          <w:color w:val="000000" w:themeColor="text1"/>
        </w:rPr>
      </w:r>
      <w:r/>
    </w:p>
    <w:p>
      <w:pPr>
        <w:numPr>
          <w:ilvl w:val="0"/>
          <w:numId w:val="10"/>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progetto denominato RM-FOSSO.OFFAGNA, riguardante il taglio e sfalcio della vegetazione lungo il Fosso Offagna tra il ponte su via d’Ancona fino al Rio Scaricalasino, l’ampliamento e risagomatura delle sezioni idrauliche di deflusso del Fosso Offagna dall’</w:t>
      </w:r>
      <w:r>
        <w:rPr>
          <w:rFonts w:ascii="Times New Roman" w:hAnsi="Times New Roman" w:cs="Times New Roman" w:eastAsia="Times New Roman"/>
          <w:color w:val="000000" w:themeColor="text1"/>
          <w:sz w:val="24"/>
        </w:rPr>
        <w:t xml:space="preserve">uscita della zona industriale in loc. San Biagio fino al Rio Scaricalasino e le opere di messa in sicurezza del ponte in via San Biagio. </w:t>
      </w:r>
      <w:r>
        <w:rPr>
          <w:color w:val="000000" w:themeColor="text1"/>
        </w:rPr>
      </w:r>
      <w:r/>
    </w:p>
    <w:p>
      <w:pPr>
        <w:ind w:left="0" w:firstLine="0"/>
        <w:jc w:val="both"/>
        <w:spacing w:before="0" w:after="0"/>
        <w:rPr>
          <w:color w:val="000000"/>
          <w:sz w:val="24"/>
        </w:rPr>
        <w:pBdr>
          <w:top w:val="none" w:color="000000" w:sz="4" w:space="0"/>
          <w:left w:val="none" w:color="000000" w:sz="4" w:space="0"/>
          <w:bottom w:val="none" w:color="000000" w:sz="4" w:space="0"/>
          <w:right w:val="none" w:color="000000" w:sz="4" w:space="0"/>
        </w:pBdr>
      </w:pPr>
      <w:r>
        <w:rPr>
          <w:color w:val="000000" w:themeColor="text1"/>
          <w:sz w:val="24"/>
        </w:rPr>
      </w:r>
      <w:r>
        <w:rPr>
          <w:color w:val="000000" w:themeColor="text1"/>
          <w:sz w:val="24"/>
        </w:rPr>
      </w:r>
      <w:r/>
    </w:p>
    <w:p>
      <w:pPr>
        <w:ind w:left="0"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CONSIDERATO inoltre che l’Amministrazione comunale:</w:t>
      </w:r>
      <w:r>
        <w:rPr>
          <w:color w:val="000000" w:themeColor="text1"/>
        </w:rPr>
      </w:r>
      <w:r/>
    </w:p>
    <w:p>
      <w:pPr>
        <w:numPr>
          <w:ilvl w:val="0"/>
          <w:numId w:val="11"/>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riconosce il rilevante interesse pubblico delle attività sanitarie e sociosanitarie, quali servizi essenziali rivolti alla collettività, strettamente connessi alla tutela del diritto alla salute, alla prossimità delle cure e al miglioramento dell’offerta t</w:t>
      </w:r>
      <w:r>
        <w:rPr>
          <w:rFonts w:ascii="Times New Roman" w:hAnsi="Times New Roman" w:cs="Times New Roman" w:eastAsia="Times New Roman"/>
          <w:color w:val="000000" w:themeColor="text1"/>
          <w:sz w:val="24"/>
        </w:rPr>
        <w:t xml:space="preserve">erritoriale di assistenza; </w:t>
      </w:r>
      <w:r>
        <w:rPr>
          <w:color w:val="000000" w:themeColor="text1"/>
        </w:rPr>
      </w:r>
      <w:r/>
    </w:p>
    <w:p>
      <w:pPr>
        <w:numPr>
          <w:ilvl w:val="0"/>
          <w:numId w:val="11"/>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prende atto della volontà dell’Azienda Sanitaria Territoriale di procedere alla riorganizzazione e alla ricollocazione di alcune funzioni sanitarie strategiche, mediante il loro accorpamento in un’unica struttura, al fine di migliorarne l’efficienza organi</w:t>
      </w:r>
      <w:r>
        <w:rPr>
          <w:rFonts w:ascii="Times New Roman" w:hAnsi="Times New Roman" w:cs="Times New Roman" w:eastAsia="Times New Roman"/>
          <w:color w:val="000000" w:themeColor="text1"/>
          <w:sz w:val="24"/>
        </w:rPr>
        <w:t xml:space="preserve">zzativa, l’integrazione funzionale e l’accessibilità per l’utenza; </w:t>
      </w:r>
      <w:r>
        <w:rPr>
          <w:color w:val="000000" w:themeColor="text1"/>
        </w:rPr>
      </w:r>
      <w:r/>
    </w:p>
    <w:p>
      <w:pPr>
        <w:numPr>
          <w:ilvl w:val="0"/>
          <w:numId w:val="11"/>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condivide, sotto il profilo generale e programmatico, l’esigenza di razionalizzare e potenziare i servizi sanitari presenti sul territorio comunale, ritenendo tale obiettivo coerente con l’interesse pubblico al mantenimento di un presidio sanitario stabile</w:t>
      </w:r>
      <w:r>
        <w:rPr>
          <w:rFonts w:ascii="Times New Roman" w:hAnsi="Times New Roman" w:cs="Times New Roman" w:eastAsia="Times New Roman"/>
          <w:color w:val="000000" w:themeColor="text1"/>
          <w:sz w:val="24"/>
        </w:rPr>
        <w:t xml:space="preserve">, efficiente e adeguatamente accessibile alla popolazione; </w:t>
      </w:r>
      <w:r>
        <w:rPr>
          <w:color w:val="000000" w:themeColor="text1"/>
        </w:rPr>
      </w:r>
      <w:r/>
    </w:p>
    <w:p>
      <w:pPr>
        <w:numPr>
          <w:ilvl w:val="0"/>
          <w:numId w:val="11"/>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attribuisce particolare rilievo alla permanenza, nel territorio comunale, delle funzioni sanitarie attualmente presenti, ritenendo prioritario evitare fenomeni di depotenziamento o delocalizzazione verso altri territori, al fine di garantire continuità ass</w:t>
      </w:r>
      <w:r>
        <w:rPr>
          <w:rFonts w:ascii="Times New Roman" w:hAnsi="Times New Roman" w:cs="Times New Roman" w:eastAsia="Times New Roman"/>
          <w:color w:val="000000" w:themeColor="text1"/>
          <w:sz w:val="24"/>
        </w:rPr>
        <w:t xml:space="preserve">istenziale, prossimità dei servizi e adeguata risposta ai bisogni della cittadinanza; </w:t>
      </w:r>
      <w:r>
        <w:rPr>
          <w:color w:val="000000" w:themeColor="text1"/>
        </w:rPr>
      </w:r>
      <w:r/>
    </w:p>
    <w:p>
      <w:pPr>
        <w:numPr>
          <w:ilvl w:val="0"/>
          <w:numId w:val="11"/>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conferma, pertanto, il proprio interesse istituzionale al mantenimento e al consolidamento dei servizi sanitari nel Comune di Osimo, ferma restando la necessità che ogni scelta localizzativa sia valutata nel rispetto della disciplina urbanistica, edilizia,</w:t>
      </w:r>
      <w:r>
        <w:rPr>
          <w:rFonts w:ascii="Times New Roman" w:hAnsi="Times New Roman" w:cs="Times New Roman" w:eastAsia="Times New Roman"/>
          <w:color w:val="000000" w:themeColor="text1"/>
          <w:sz w:val="24"/>
        </w:rPr>
        <w:t xml:space="preserve"> ambientale e di sicurezza applicabile al caso concreto.</w:t>
      </w:r>
      <w:r>
        <w:rPr>
          <w:color w:val="000000" w:themeColor="text1"/>
        </w:rPr>
      </w:r>
      <w:r/>
    </w:p>
    <w:p>
      <w:pPr>
        <w:ind w:left="0" w:firstLine="0"/>
        <w:jc w:val="both"/>
        <w:spacing w:before="0" w:after="0"/>
        <w:rPr>
          <w:color w:val="000000"/>
          <w:sz w:val="24"/>
        </w:rPr>
        <w:pBdr>
          <w:top w:val="none" w:color="000000" w:sz="4" w:space="0"/>
          <w:left w:val="none" w:color="000000" w:sz="4" w:space="0"/>
          <w:bottom w:val="none" w:color="000000" w:sz="4" w:space="0"/>
          <w:right w:val="none" w:color="000000" w:sz="4" w:space="0"/>
        </w:pBdr>
      </w:pPr>
      <w:r>
        <w:rPr>
          <w:color w:val="000000" w:themeColor="text1"/>
          <w:sz w:val="24"/>
        </w:rPr>
      </w:r>
      <w:r>
        <w:rPr>
          <w:color w:val="000000" w:themeColor="text1"/>
          <w:sz w:val="24"/>
        </w:rPr>
      </w:r>
      <w:r/>
    </w:p>
    <w:p>
      <w:pPr>
        <w:ind w:left="0" w:right="0" w:firstLine="0"/>
        <w:jc w:val="both"/>
        <w:spacing w:before="0" w:after="0"/>
        <w:rPr>
          <w:b w:val="0"/>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val="0"/>
          <w:color w:val="000000" w:themeColor="text1"/>
          <w:sz w:val="24"/>
        </w:rPr>
        <w:t xml:space="preserve">RIBADITO CHE: </w:t>
      </w:r>
      <w:r>
        <w:rPr>
          <w:b w:val="0"/>
          <w:color w:val="000000" w:themeColor="text1"/>
        </w:rPr>
      </w:r>
      <w:r/>
    </w:p>
    <w:p>
      <w:pPr>
        <w:numPr>
          <w:ilvl w:val="0"/>
          <w:numId w:val="12"/>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ai sensi dell’art. 4 delle NTA del PUC, l’interesse pubblico deve essere valutato in concreto, tenendo conto sia della natura dell’intervento sia della specifica localizzazione e delle condizioni del contesto territoriale; </w:t>
      </w:r>
      <w:r>
        <w:rPr>
          <w:color w:val="000000" w:themeColor="text1"/>
        </w:rPr>
      </w:r>
      <w:r/>
    </w:p>
    <w:p>
      <w:pPr>
        <w:numPr>
          <w:ilvl w:val="0"/>
          <w:numId w:val="12"/>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in tale ambito, assume carattere prioritario il principio di precauzione, che impone all’Amministrazione di orientare le proprie scelte alla massima tutela della sicurezza pubblica del territorio e all’effettiva mitigazione dei rischi, con particolare rigu</w:t>
      </w:r>
      <w:r>
        <w:rPr>
          <w:rFonts w:ascii="Times New Roman" w:hAnsi="Times New Roman" w:cs="Times New Roman" w:eastAsia="Times New Roman"/>
          <w:color w:val="000000" w:themeColor="text1"/>
          <w:sz w:val="24"/>
        </w:rPr>
        <w:t xml:space="preserve">ardo all’insediamento di funzioni sensibili e strategiche;</w:t>
      </w:r>
      <w:r>
        <w:rPr>
          <w:color w:val="000000" w:themeColor="text1"/>
        </w:rPr>
      </w:r>
      <w:r/>
    </w:p>
    <w:p>
      <w:pPr>
        <w:numPr>
          <w:ilvl w:val="0"/>
          <w:numId w:val="12"/>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pertanto, pur riconoscendo e sostenendo la rilevanza e la necessità dell’intervento sotto il profilo sanitario e sociale, l’Amministrazione non può prescindere dalla valutazione delle condizioni di rischio idraulico insistenti sull’area, le quali, nella sp</w:t>
      </w:r>
      <w:r>
        <w:rPr>
          <w:rFonts w:ascii="Times New Roman" w:hAnsi="Times New Roman" w:cs="Times New Roman" w:eastAsia="Times New Roman"/>
          <w:color w:val="000000" w:themeColor="text1"/>
          <w:sz w:val="24"/>
        </w:rPr>
        <w:t xml:space="preserve">ecifica localizzazione proposta, impongono un approccio prudenziale e rigoroso ai fini della verifica dell’interesse pubblico.</w:t>
      </w:r>
      <w:r>
        <w:rPr>
          <w:color w:val="000000" w:themeColor="text1"/>
        </w:rPr>
      </w:r>
      <w:r/>
    </w:p>
    <w:p>
      <w:pPr>
        <w:ind w:left="0" w:right="0" w:firstLine="0"/>
        <w:jc w:val="both"/>
        <w:spacing w:before="0" w:after="0" w:line="276" w:lineRule="atLeast"/>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themeColor="text1"/>
          <w:sz w:val="24"/>
        </w:rPr>
        <w:t xml:space="preserve"> </w:t>
      </w:r>
      <w:r>
        <w:rPr>
          <w:color w:val="000000" w:themeColor="text1"/>
        </w:rPr>
      </w:r>
      <w:r/>
    </w:p>
    <w:p>
      <w:pPr>
        <w:ind w:left="0" w:right="0" w:firstLine="0"/>
        <w:jc w:val="both"/>
        <w:spacing w:before="0" w:after="0" w:line="276" w:lineRule="atLeast"/>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val="0"/>
          <w:color w:val="000000" w:themeColor="text1"/>
          <w:sz w:val="24"/>
        </w:rPr>
        <w:t xml:space="preserve">RITENUTO CHE:</w:t>
      </w:r>
      <w:r>
        <w:rPr>
          <w:color w:val="000000" w:themeColor="text1"/>
        </w:rPr>
      </w:r>
      <w:r/>
    </w:p>
    <w:p>
      <w:pPr>
        <w:numPr>
          <w:ilvl w:val="0"/>
          <w:numId w:val="12"/>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alla luce de</w:t>
      </w:r>
      <w:r>
        <w:rPr>
          <w:rFonts w:ascii="Times New Roman" w:hAnsi="Times New Roman" w:cs="Times New Roman" w:eastAsia="Times New Roman"/>
          <w:color w:val="000000" w:themeColor="text1"/>
          <w:sz w:val="24"/>
        </w:rPr>
        <w:t xml:space="preserve">lle risultanze istruttorie acquisite e, in particolare, delle valutazioni tecniche espresse dal Genio Civile Marche Nord in ordine agli effetti delle opere di mitigazione previste, il riconoscimento dell’interesse pubblico alla localizzazione proposta deve</w:t>
      </w:r>
      <w:r>
        <w:rPr>
          <w:rFonts w:ascii="Times New Roman" w:hAnsi="Times New Roman" w:cs="Times New Roman" w:eastAsia="Times New Roman"/>
          <w:color w:val="000000" w:themeColor="text1"/>
          <w:sz w:val="24"/>
        </w:rPr>
        <w:t xml:space="preserve"> essere necessariamente subordinato all’effettiva realizzazione, al collaudo e alla verifica degli interventi di messa in sicurezza idraulica, nonché alla conseguente rivalutazione del quadro di rischio da parte delle Autorità competenti;</w:t>
      </w:r>
      <w:r>
        <w:rPr>
          <w:color w:val="000000" w:themeColor="text1"/>
        </w:rPr>
      </w:r>
      <w:r/>
    </w:p>
    <w:p>
      <w:pPr>
        <w:ind w:left="0" w:right="0" w:firstLine="0"/>
        <w:jc w:val="both"/>
        <w:spacing w:before="0" w:after="0"/>
        <w:rPr>
          <w:color w:val="000000"/>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themeColor="text1"/>
          <w:sz w:val="24"/>
          <w:highlight w:val="none"/>
        </w:rPr>
      </w:r>
      <w:r>
        <w:rPr>
          <w:rFonts w:ascii="Times New Roman" w:hAnsi="Times New Roman" w:cs="Times New Roman" w:eastAsia="Times New Roman"/>
          <w:b/>
          <w:color w:val="000000" w:themeColor="text1"/>
          <w:sz w:val="24"/>
          <w:highlight w:val="none"/>
        </w:rPr>
      </w:r>
      <w:r/>
    </w:p>
    <w:p>
      <w:pPr>
        <w:ind w:left="0" w:right="0" w:firstLine="0"/>
        <w:jc w:val="both"/>
        <w:spacing w:before="0" w:after="0"/>
        <w:rPr>
          <w:rFonts w:ascii="Times New Roman" w:hAnsi="Times New Roman" w:cs="Times New Roman" w:eastAsia="Times New Roman"/>
          <w:b/>
          <w:color w:val="000000"/>
          <w:sz w:val="24"/>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val="0"/>
          <w:color w:val="000000" w:themeColor="text1"/>
          <w:sz w:val="24"/>
        </w:rPr>
        <w:t xml:space="preserve">CONCLUSO PERTANTO CHE: </w:t>
      </w:r>
      <w:r>
        <w:rPr>
          <w:color w:val="000000" w:themeColor="text1"/>
        </w:rPr>
      </w:r>
      <w:r/>
    </w:p>
    <w:p>
      <w:pPr>
        <w:numPr>
          <w:ilvl w:val="0"/>
          <w:numId w:val="13"/>
        </w:numPr>
        <w:ind w:left="283" w:right="0" w:hanging="283"/>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pur riconoscendo la rilevanza pubblica, in termini generali, delle attività sanitarie, </w:t>
      </w:r>
      <w:r>
        <w:rPr>
          <w:rFonts w:ascii="Times New Roman" w:hAnsi="Times New Roman" w:cs="Times New Roman" w:eastAsia="Times New Roman"/>
          <w:color w:val="000000" w:themeColor="text1"/>
          <w:sz w:val="24"/>
        </w:rPr>
        <w:t xml:space="preserve">il riconoscimento dell’interesse pubblico alla specifica localizzazione proposta può essere espresso solo in via condizionata, in quanto strettamente subordinato al verificarsi delle condizioni indicate nel parere del S</w:t>
      </w:r>
      <w:r>
        <w:rPr>
          <w:rFonts w:ascii="Times New Roman" w:hAnsi="Times New Roman" w:cs="Times New Roman" w:eastAsia="Times New Roman"/>
          <w:color w:val="000000" w:themeColor="text1"/>
          <w:sz w:val="24"/>
        </w:rPr>
        <w:t xml:space="preserve">ettore regionale Genio Civile Marche</w:t>
      </w:r>
      <w:r>
        <w:rPr>
          <w:rFonts w:ascii="Times New Roman" w:hAnsi="Times New Roman" w:cs="Times New Roman" w:eastAsia="Times New Roman"/>
          <w:color w:val="000000" w:themeColor="text1"/>
          <w:sz w:val="24"/>
        </w:rPr>
        <w:t xml:space="preserve"> Nord sopra richiamate, nel rispetto del principio di precauzione e della normativa vigente in materia di rischio idraulico.</w:t>
      </w:r>
      <w:r>
        <w:rPr>
          <w:color w:val="000000" w:themeColor="text1"/>
        </w:rPr>
      </w:r>
      <w:r/>
    </w:p>
    <w:p>
      <w:pPr>
        <w:ind w:left="284" w:right="0" w:firstLine="0"/>
        <w:jc w:val="both"/>
        <w:spacing w:before="0" w:after="0"/>
        <w:rPr>
          <w:color w:val="00000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themeColor="text1"/>
          <w:sz w:val="24"/>
        </w:rPr>
        <w:t xml:space="preserve"> </w:t>
      </w:r>
      <w:r>
        <w:rPr>
          <w:color w:val="000000" w:themeColor="text1"/>
        </w:rPr>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DELIBERA</w:t>
      </w:r>
      <w:r/>
    </w:p>
    <w:p>
      <w:pPr>
        <w:ind w:left="0" w:right="0" w:firstLine="0"/>
        <w:jc w:val="center"/>
        <w:spacing w:before="0" w:after="0"/>
        <w:rPr>
          <w:b w:val="0"/>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val="0"/>
          <w:color w:val="000000"/>
          <w:sz w:val="24"/>
        </w:rPr>
        <w:t xml:space="preserve"> </w:t>
      </w:r>
      <w:r>
        <w:rPr>
          <w:b w:val="0"/>
        </w:rPr>
      </w:r>
      <w:r/>
    </w:p>
    <w:p>
      <w:pPr>
        <w:numPr>
          <w:ilvl w:val="0"/>
          <w:numId w:val="14"/>
        </w:numPr>
        <w:ind w:left="425" w:right="0" w:hanging="425"/>
        <w:jc w:val="both"/>
        <w:spacing w:before="0" w:after="0"/>
        <w:tabs>
          <w:tab w:val="left" w:pos="426"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val="0"/>
          <w:color w:val="000000"/>
          <w:sz w:val="24"/>
        </w:rPr>
        <w:t xml:space="preserve">DI PRENDERE ATTO</w:t>
      </w:r>
      <w:r>
        <w:rPr>
          <w:rFonts w:ascii="Times New Roman" w:hAnsi="Times New Roman" w:cs="Times New Roman" w:eastAsia="Times New Roman"/>
          <w:color w:val="000000"/>
          <w:sz w:val="24"/>
        </w:rPr>
        <w:t xml:space="preserve"> degli esiti della Conferenza dei Servizi istruttoria svolta ai sensi dell’art. 4 delle NTA del PUC e dell’art. 14 della L. 241/1990; </w:t>
      </w:r>
      <w:r/>
    </w:p>
    <w:p>
      <w:pPr>
        <w:ind w:left="425" w:right="0" w:hanging="425"/>
        <w:jc w:val="both"/>
        <w:spacing w:before="0" w:after="0"/>
        <w:tabs>
          <w:tab w:val="left" w:pos="426"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14"/>
        </w:numPr>
        <w:ind w:left="425" w:right="0" w:hanging="425"/>
        <w:jc w:val="both"/>
        <w:spacing w:before="0" w:after="0"/>
        <w:tabs>
          <w:tab w:val="left" w:pos="426"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val="0"/>
          <w:color w:val="000000"/>
          <w:sz w:val="24"/>
        </w:rPr>
        <w:t xml:space="preserve">DI PRENDERE ATTO</w:t>
      </w:r>
      <w:r>
        <w:rPr>
          <w:rFonts w:ascii="Times New Roman" w:hAnsi="Times New Roman" w:cs="Times New Roman" w:eastAsia="Times New Roman"/>
          <w:color w:val="000000"/>
          <w:sz w:val="24"/>
        </w:rPr>
        <w:t xml:space="preserve"> della relazione istruttoria dell’Ufficio Pianificazione, allegata al presente atto;</w:t>
      </w:r>
      <w:r/>
    </w:p>
    <w:p>
      <w:pPr>
        <w:ind w:left="425" w:right="0" w:hanging="425"/>
        <w:jc w:val="both"/>
        <w:spacing w:before="0" w:after="0"/>
        <w:tabs>
          <w:tab w:val="left" w:pos="426"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14"/>
        </w:numPr>
        <w:ind w:left="425" w:right="0" w:hanging="425"/>
        <w:jc w:val="both"/>
        <w:spacing w:before="0" w:after="0"/>
        <w:tabs>
          <w:tab w:val="left" w:pos="426"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val="0"/>
          <w:color w:val="000000"/>
          <w:sz w:val="24"/>
        </w:rPr>
        <w:t xml:space="preserve">DI RICONOSCERE</w:t>
      </w:r>
      <w:r>
        <w:rPr>
          <w:rFonts w:ascii="Times New Roman" w:hAnsi="Times New Roman" w:cs="Times New Roman" w:eastAsia="Times New Roman"/>
          <w:color w:val="000000"/>
          <w:sz w:val="24"/>
        </w:rPr>
        <w:t xml:space="preserve">, ai sensi dell’art. 4 delle NTA del PUC, la sussistenza dell’interesse pubblico alla localizzazione proposta, in considerazione della rilevanza dell’intervento sotto il profilo sanitario e socio–assistenziale, subordinando l’efficacia della localizzazione</w:t>
      </w:r>
      <w:r>
        <w:rPr>
          <w:rFonts w:ascii="Times New Roman" w:hAnsi="Times New Roman" w:cs="Times New Roman" w:eastAsia="Times New Roman"/>
          <w:color w:val="000000"/>
          <w:sz w:val="24"/>
        </w:rPr>
        <w:t xml:space="preserve"> alle prescrizioni di cui al successivo punto 4;</w:t>
      </w:r>
      <w:r/>
    </w:p>
    <w:p>
      <w:pPr>
        <w:ind w:left="425" w:right="0" w:hanging="425"/>
        <w:jc w:val="both"/>
        <w:spacing w:before="0" w:after="0"/>
        <w:tabs>
          <w:tab w:val="left" w:pos="426"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14"/>
        </w:numPr>
        <w:ind w:left="425" w:right="0" w:hanging="425"/>
        <w:jc w:val="both"/>
        <w:spacing w:before="0" w:after="0"/>
        <w:tabs>
          <w:tab w:val="left" w:pos="426"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val="0"/>
          <w:color w:val="000000"/>
          <w:sz w:val="24"/>
        </w:rPr>
        <w:t xml:space="preserve">DI STABILIRE</w:t>
      </w:r>
      <w:r>
        <w:rPr>
          <w:rFonts w:ascii="Times New Roman" w:hAnsi="Times New Roman" w:cs="Times New Roman" w:eastAsia="Times New Roman"/>
          <w:color w:val="000000"/>
          <w:sz w:val="24"/>
        </w:rPr>
        <w:t xml:space="preserve"> che, in considerazione degli esiti dell’istruttoria tecnica e, in particolare, delle valutazioni espresse dal competente Settore regionale Genio Civile Marche Nord, con riferimento agli effetti delle opere di mitigazione idraulica ivi previste e sopra ric</w:t>
      </w:r>
      <w:r>
        <w:rPr>
          <w:rFonts w:ascii="Times New Roman" w:hAnsi="Times New Roman" w:cs="Times New Roman" w:eastAsia="Times New Roman"/>
          <w:color w:val="000000"/>
          <w:sz w:val="24"/>
        </w:rPr>
        <w:t xml:space="preserve">hiamate, il riconoscimento dell’interesse pubblico alla localizzazione proposta è subordinato:</w:t>
      </w:r>
      <w:r/>
    </w:p>
    <w:p>
      <w:pPr>
        <w:numPr>
          <w:ilvl w:val="0"/>
          <w:numId w:val="13"/>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al completamento degli interventi di messa in sicurezza idraulica programmati;</w:t>
      </w:r>
      <w:r/>
    </w:p>
    <w:p>
      <w:pPr>
        <w:numPr>
          <w:ilvl w:val="0"/>
          <w:numId w:val="13"/>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al positivo collaudo delle opere, alla verifica degli effetti delle stesse in termini di mitigazione del rischio idraulico; </w:t>
      </w:r>
      <w:r/>
    </w:p>
    <w:p>
      <w:pPr>
        <w:numPr>
          <w:ilvl w:val="0"/>
          <w:numId w:val="13"/>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alla modifica della classificazione di pericolosità e/o rischio idraulico dell’area, deperimetrazione e riclassificazione, conseguente alla realizzazione e messa in esercizio delle opere, secondo le procedure previste dall’art. 19 delle Norme di Attuazione</w:t>
      </w:r>
      <w:r>
        <w:rPr>
          <w:rFonts w:ascii="Times New Roman" w:hAnsi="Times New Roman" w:cs="Times New Roman" w:eastAsia="Times New Roman"/>
          <w:color w:val="000000"/>
          <w:sz w:val="24"/>
        </w:rPr>
        <w:t xml:space="preserve"> del PAI;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14"/>
        </w:numPr>
        <w:ind w:left="425" w:right="0" w:hanging="425"/>
        <w:jc w:val="both"/>
        <w:spacing w:before="0" w:after="0"/>
        <w:tabs>
          <w:tab w:val="left" w:pos="426"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val="0"/>
          <w:color w:val="000000"/>
          <w:sz w:val="24"/>
        </w:rPr>
        <w:t xml:space="preserve">DI DARE ATTO</w:t>
      </w:r>
      <w:r>
        <w:rPr>
          <w:rFonts w:ascii="Times New Roman" w:hAnsi="Times New Roman" w:cs="Times New Roman" w:eastAsia="Times New Roman"/>
          <w:b w:val="0"/>
          <w:color w:val="000000"/>
          <w:sz w:val="24"/>
        </w:rPr>
        <w:t xml:space="preserve"> </w:t>
      </w:r>
      <w:r>
        <w:rPr>
          <w:rFonts w:ascii="Times New Roman" w:hAnsi="Times New Roman" w:cs="Times New Roman" w:eastAsia="Times New Roman"/>
          <w:color w:val="000000"/>
          <w:sz w:val="24"/>
        </w:rPr>
        <w:t xml:space="preserve">che la presente deliberazione non costituisce titolo edilizio, né provvedimento conclusivo di natura autorizzativa, ma espressione della valutazione consiliare richiesta dall’art. 4 delle NTA del PUC;</w:t>
      </w:r>
      <w:r/>
    </w:p>
    <w:p>
      <w:pPr>
        <w:ind w:left="425" w:right="0" w:hanging="425"/>
        <w:jc w:val="both"/>
        <w:spacing w:before="0" w:after="0"/>
        <w:tabs>
          <w:tab w:val="left" w:pos="426"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14"/>
        </w:numPr>
        <w:ind w:left="425" w:right="0" w:hanging="425"/>
        <w:jc w:val="both"/>
        <w:spacing w:before="0" w:after="0"/>
        <w:tabs>
          <w:tab w:val="left" w:pos="426"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val="0"/>
          <w:color w:val="000000"/>
          <w:sz w:val="24"/>
        </w:rPr>
        <w:t xml:space="preserve">DI DARE ATTO</w:t>
      </w:r>
      <w:r>
        <w:rPr>
          <w:rFonts w:ascii="Times New Roman" w:hAnsi="Times New Roman" w:cs="Times New Roman" w:eastAsia="Times New Roman"/>
          <w:b w:val="0"/>
          <w:color w:val="000000"/>
          <w:sz w:val="24"/>
        </w:rPr>
        <w:t xml:space="preserve"> </w:t>
      </w:r>
      <w:r>
        <w:rPr>
          <w:rFonts w:ascii="Times New Roman" w:hAnsi="Times New Roman" w:cs="Times New Roman" w:eastAsia="Times New Roman"/>
          <w:color w:val="000000"/>
          <w:sz w:val="24"/>
        </w:rPr>
        <w:t xml:space="preserve">che la presente deliberazione:</w:t>
      </w:r>
      <w:r/>
    </w:p>
    <w:p>
      <w:pPr>
        <w:numPr>
          <w:ilvl w:val="0"/>
          <w:numId w:val="13"/>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si fonda sul quadro istruttorio acquisito e sugli effetti attesi degli interventi di messa in sicurezza idraulica; </w:t>
      </w:r>
      <w:r/>
    </w:p>
    <w:p>
      <w:pPr>
        <w:numPr>
          <w:ilvl w:val="0"/>
          <w:numId w:val="13"/>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non sostituisce né anticipa le determinazioni di competenza degli enti preposti in materia di rischio idraulico; </w:t>
      </w:r>
      <w:r/>
    </w:p>
    <w:p>
      <w:pPr>
        <w:numPr>
          <w:ilvl w:val="0"/>
          <w:numId w:val="13"/>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non costituisce titolo abilitativo, restando ogni ulteriore valutazione demandata ai procedimenti autorizzativi di competenza, le cui istanze potranno essere presentate esclusivamente all’avverarsi delle condizioni sopra stabilite, che subordinano l’effica</w:t>
      </w:r>
      <w:r>
        <w:rPr>
          <w:rFonts w:ascii="Times New Roman" w:hAnsi="Times New Roman" w:cs="Times New Roman" w:eastAsia="Times New Roman"/>
          <w:color w:val="000000"/>
          <w:sz w:val="24"/>
        </w:rPr>
        <w:t xml:space="preserve">cia della localizzazione al completamento, collaudo e verifica degli interventi di mitigazione del rischio idraulico, nonché agli esiti della procedura di cui all’art. 19 delle NTA del PAI, in applicazione del principio di precauzione.</w:t>
      </w:r>
      <w:r/>
    </w:p>
    <w:p>
      <w:pPr>
        <w:ind w:left="0" w:firstLine="0"/>
        <w:jc w:val="both"/>
        <w:spacing w:before="0" w:after="0"/>
        <w:rPr>
          <w:sz w:val="24"/>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r>
      <w:r>
        <w:rPr>
          <w:rFonts w:ascii="Times New Roman" w:hAnsi="Times New Roman" w:cs="Times New Roman" w:eastAsia="Times New Roman"/>
          <w:color w:val="000000"/>
          <w:sz w:val="24"/>
          <w:highlight w:val="none"/>
        </w:rPr>
      </w:r>
      <w:r/>
    </w:p>
    <w:p>
      <w:pPr>
        <w:ind w:left="0" w:right="0" w:firstLine="0"/>
        <w:jc w:val="both"/>
        <w:spacing w:before="0" w:after="0"/>
        <w:rPr>
          <w:rFonts w:ascii="Times New Roman" w:hAnsi="Times New Roman" w:cs="Times New Roman" w:eastAsia="Times New Roman"/>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Infine, considerata l’urgenza </w:t>
      </w:r>
      <w:r>
        <w:rPr>
          <w:rFonts w:ascii="Times New Roman" w:hAnsi="Times New Roman" w:cs="Times New Roman" w:eastAsia="Times New Roman"/>
          <w:sz w:val="24"/>
        </w:rPr>
        <w:t xml:space="preserve">di concludere il procedimento avviato ai sensi dell’art. 4 delle NTA del PUC, al fine di definire tempestivamente le determinazioni di competenza del Consiglio comunale;</w:t>
      </w:r>
      <w:r>
        <w:rPr>
          <w:rFonts w:ascii="Times New Roman" w:hAnsi="Times New Roman" w:cs="Times New Roman" w:eastAsia="Times New Roman"/>
          <w:color w:val="000000"/>
          <w:sz w:val="24"/>
        </w:rPr>
        <w:t xml:space="preserve"> </w:t>
      </w:r>
      <w:r>
        <w:rPr>
          <w:rFonts w:ascii="Times New Roman" w:hAnsi="Times New Roman" w:cs="Times New Roman" w:eastAsia="Times New Roman"/>
          <w:sz w:val="24"/>
        </w:rPr>
      </w:r>
      <w:r/>
    </w:p>
    <w:p>
      <w:pPr>
        <w:ind w:left="426"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ab/>
        <w:tab/>
        <w:tab/>
        <w:tab/>
        <w:tab/>
        <w:tab/>
        <w:t xml:space="preserve">DELIBERA</w:t>
      </w:r>
      <w:r/>
    </w:p>
    <w:p>
      <w:pPr>
        <w:ind w:left="426"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dichiarare la presente deliberazione immediatamente eseguibile, ai sensi dell'art. 134, comma 4 del D.Lgs. 18.8.2000 n. 267.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Liberation Serif" w:hAnsi="Liberation Serif" w:cs="Liberation Serif" w:eastAsia="Liberation Serif"/>
          <w:color w:val="000000"/>
          <w:sz w:val="24"/>
        </w:rPr>
        <w:t xml:space="preserve"> </w:t>
      </w:r>
      <w:r/>
    </w:p>
    <w:p>
      <w:pPr>
        <w:jc w:val="center"/>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jc w:val="center"/>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jc w:val="center"/>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jc w:val="center"/>
      </w:pPr>
      <w:r>
        <w:rPr>
          <w:rFonts w:ascii="Arial" w:hAnsi="Arial" w:cs="Arial" w:eastAsia="Arial"/>
          <w:b/>
          <w:sz w:val="24"/>
          <w:highlight w:val="none"/>
        </w:rPr>
      </w:r>
      <w:r>
        <w:rPr>
          <w:rFonts w:ascii="Arial" w:hAnsi="Arial" w:cs="Arial" w:eastAsia="Arial"/>
          <w:b/>
          <w:sz w:val="24"/>
          <w:highlight w:val="none"/>
        </w:rPr>
      </w:r>
      <w:r/>
    </w:p>
    <w:p>
      <w:pPr>
        <w:jc w:val="center"/>
      </w:pPr>
      <w:r>
        <w:rPr>
          <w:rFonts w:ascii="Arial" w:hAnsi="Arial" w:cs="Arial" w:eastAsia="Arial"/>
          <w:b/>
          <w:sz w:val="24"/>
          <w:highlight w:val="none"/>
        </w:rPr>
        <w:t xml:space="preserve">***</w:t>
      </w:r>
      <w:r>
        <w:rPr>
          <w:rFonts w:ascii="Arial" w:hAnsi="Arial" w:cs="Arial" w:eastAsia="Arial"/>
          <w:b/>
          <w:sz w:val="24"/>
          <w:highlight w:val="none"/>
        </w:rPr>
      </w:r>
      <w:r/>
    </w:p>
    <w:p>
      <w:pPr>
        <w:jc w:val="left"/>
        <w:rPr>
          <w:bCs/>
          <w:i/>
          <w:sz w:val="20"/>
          <w:szCs w:val="20"/>
        </w:rPr>
      </w:pPr>
      <w:r>
        <w:rPr>
          <w:rFonts w:ascii="Arial" w:hAnsi="Arial" w:cs="Arial" w:eastAsia="Arial"/>
          <w:b/>
          <w:i/>
          <w:iCs/>
          <w:sz w:val="20"/>
          <w:szCs w:val="20"/>
          <w:highlight w:val="none"/>
        </w:rPr>
        <w:t xml:space="preserve">A</w:t>
      </w:r>
      <w:r>
        <w:rPr>
          <w:rFonts w:ascii="Arial" w:hAnsi="Arial" w:cs="Arial" w:eastAsia="Arial"/>
          <w:b/>
          <w:i/>
          <w:iCs/>
          <w:sz w:val="20"/>
          <w:szCs w:val="20"/>
          <w:highlight w:val="none"/>
        </w:rPr>
        <w:t xml:space="preserve">i sensi dell’art.35 del Regolamento del Consiglio Comunale, le sedute pubbliche del Consiglio Comunale vengono riprese e trasmesse via web e sono integralmente registrate su supporto digitale. Dette registrazioni sono consultabili attraverso il sito Intern</w:t>
      </w:r>
      <w:r>
        <w:rPr>
          <w:rFonts w:ascii="Arial" w:hAnsi="Arial" w:cs="Arial" w:eastAsia="Arial"/>
          <w:b/>
          <w:i/>
          <w:iCs/>
          <w:sz w:val="20"/>
          <w:szCs w:val="20"/>
          <w:highlight w:val="none"/>
        </w:rPr>
        <w:t xml:space="preserve">et del Comune.</w:t>
      </w:r>
      <w:r>
        <w:rPr>
          <w:bCs/>
          <w:i/>
          <w:sz w:val="20"/>
          <w:szCs w:val="20"/>
        </w:rPr>
      </w:r>
      <w:r/>
    </w:p>
    <w:p>
      <w:pPr>
        <w:jc w:val="center"/>
        <w:rPr>
          <w:rFonts w:ascii="Arial" w:hAnsi="Arial" w:cs="Arial" w:eastAsia="Arial"/>
          <w:b/>
          <w:bCs/>
          <w:sz w:val="24"/>
          <w:szCs w:val="24"/>
          <w:highlight w:val="none"/>
        </w:rPr>
      </w:pPr>
      <w:r>
        <w:rPr>
          <w:rFonts w:ascii="Arial" w:hAnsi="Arial" w:cs="Arial" w:eastAsia="Arial"/>
          <w:b/>
          <w:sz w:val="24"/>
          <w:highlight w:val="none"/>
        </w:rPr>
        <w:t xml:space="preserve">***</w:t>
      </w:r>
      <w:r>
        <w:rPr>
          <w:rFonts w:ascii="Arial" w:hAnsi="Arial" w:cs="Arial" w:eastAsia="Arial"/>
          <w:b/>
          <w:bCs/>
          <w:sz w:val="24"/>
          <w:szCs w:val="24"/>
          <w:highlight w:val="none"/>
        </w:rPr>
      </w:r>
      <w:r/>
    </w:p>
    <w:sectPr>
      <w:headerReference w:type="default" r:id="rId9"/>
      <w:footerReference w:type="default" r:id="rId10"/>
      <w:footnotePr/>
      <w:endnotePr/>
      <w:type w:val="nextPage"/>
      <w:pgSz w:w="11906" w:h="16838" w:orient="portrait"/>
      <w:pgMar w:top="1134" w:right="1134" w:bottom="1134" w:left="1134"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Times New Roman">
    <w:panose1 w:val="02020603050405020304"/>
  </w:font>
  <w:font w:name="Wingdings">
    <w:panose1 w:val="05010000000000000000"/>
  </w:font>
  <w:font w:name="Symbol">
    <w:panose1 w:val="05010000000000000000"/>
  </w:font>
  <w:font w:name="Arial">
    <w:panose1 w:val="020B0604020202020204"/>
  </w:font>
  <w:font w:name="SimSun">
    <w:panose1 w:val="02020603020101020101"/>
  </w:font>
  <w:font w:name="Courier New">
    <w:panose1 w:val="02070309020205020404"/>
  </w:font>
  <w:font w:name="Mangal">
    <w:panose1 w:val="02020603050405020304"/>
  </w:font>
  <w:font w:name="Liberation Serif">
    <w:panose1 w:val="020206030504050203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18"/>
        <w:highlight w:val="none"/>
      </w:rPr>
    </w:r>
    <w:r/>
  </w:p>
  <w:p>
    <w:pPr>
      <w:ind w:left="0" w:right="0" w:firstLine="0"/>
      <w:jc w:val="left"/>
      <w:spacing w:before="0" w:after="0"/>
      <w:rPr>
        <w:rFonts w:ascii="Arial" w:hAnsi="Arial" w:cs="Arial" w:eastAsia="Arial"/>
        <w:color w:val="000000"/>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18"/>
      </w:rPr>
      <w:t xml:space="preserve">Proposta di </w:t>
    </w:r>
    <w:r>
      <w:rPr>
        <w:rFonts w:ascii="Arial" w:hAnsi="Arial" w:cs="Arial" w:eastAsia="Arial"/>
        <w:color w:val="000000"/>
        <w:sz w:val="18"/>
      </w:rPr>
      <w:t xml:space="preserve">Delibera di Consiglio</w:t>
    </w:r>
    <w:r>
      <w:rPr>
        <w:rFonts w:ascii="Arial" w:hAnsi="Arial" w:cs="Arial" w:eastAsia="Arial"/>
        <w:color w:val="000000"/>
        <w:sz w:val="18"/>
      </w:rPr>
      <w:t xml:space="preserve"> n. 463 del 24/04/2026</w:t>
    </w:r>
    <w:r>
      <w:rPr>
        <w:rFonts w:ascii="Arial" w:hAnsi="Arial" w:cs="Arial" w:eastAsia="Arial"/>
        <w:color w:val="000000"/>
        <w:highlight w:val="none"/>
      </w:rPr>
    </w:r>
    <w:r/>
  </w:p>
  <w:p>
    <w:pPr>
      <w:pStyle w:val="759"/>
      <w:jc w:val="right"/>
      <w:rPr>
        <w:rFonts w:ascii="Arial" w:hAnsi="Arial" w:cs="Arial" w:eastAsia="Arial"/>
        <w:highlight w:val="none"/>
      </w:rPr>
    </w:pPr>
    <w:r>
      <w:rPr>
        <w:rFonts w:ascii="Arial" w:hAnsi="Arial" w:cs="Arial" w:eastAsia="Arial"/>
        <w:sz w:val="18"/>
      </w:rPr>
      <w:t xml:space="preserve">Pag. </w:t>
    </w:r>
    <w:fldSimple w:instr="PAGE \* MERGEFORMAT">
      <w:r>
        <w:rPr>
          <w:rFonts w:ascii="Arial" w:hAnsi="Arial" w:cs="Arial" w:eastAsia="Arial"/>
          <w:sz w:val="18"/>
        </w:rPr>
        <w:t xml:space="preserve">1</w:t>
      </w:r>
    </w:fldSimple>
    <w:r>
      <w:rPr>
        <w:rFonts w:ascii="Arial" w:hAnsi="Arial" w:cs="Arial" w:eastAsia="Arial"/>
        <w:sz w:val="18"/>
      </w:rPr>
    </w:r>
    <w:r>
      <w:rPr>
        <w:rFonts w:ascii="Arial" w:hAnsi="Arial" w:cs="Arial" w:eastAsia="Arial"/>
        <w:highlight w:val="none"/>
      </w:rPr>
    </w:r>
    <w:r/>
  </w:p>
  <w:p>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7"/>
    </w:pPr>
    <w:r/>
    <w:r/>
  </w:p>
  <w:p>
    <w:r>
      <w:rPr>
        <w:rFonts w:ascii="Times New Roman" w:hAnsi="Times New Roman" w:cs="Times New Roman" w:eastAsia="Times New Roman"/>
        <w:lang w:bidi="ar-SA" w:eastAsia="it-IT"/>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-226695</wp:posOffset>
              </wp:positionH>
              <wp:positionV relativeFrom="paragraph">
                <wp:posOffset>-144145</wp:posOffset>
              </wp:positionV>
              <wp:extent cx="1444625" cy="1776730"/>
              <wp:effectExtent l="0" t="0" r="0" b="0"/>
              <wp:wrapNone/>
              <wp:docPr id="1" name="Immagine 1" descr="logo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0020" name="Immagine 1" descr="logo1" hidden="0"/>
                      <pic:cNvPicPr>
                        <a:picLocks noChangeAspect="1"/>
                      </pic:cNvPicPr>
                      <pic:nvPr isPhoto="0" userDrawn="0"/>
                    </pic:nvPicPr>
                    <pic:blipFill>
                      <a:blip r:embed="rId1"/>
                      <a:stretch/>
                    </pic:blipFill>
                    <pic:spPr bwMode="auto">
                      <a:xfrm rot="0" flipH="0" flipV="0">
                        <a:off x="0" y="0"/>
                        <a:ext cx="1444624" cy="1776729"/>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17.8pt;mso-position-horizontal:absolute;mso-position-vertical-relative:text;margin-top:-11.3pt;mso-position-vertical:absolute;width:113.8pt;height:139.9pt;rotation:0;" stroked="false">
              <v:path textboxrect="0,0,0,0"/>
              <v:imagedata r:id="rId1" o:title=""/>
            </v:shape>
          </w:pict>
        </mc:Fallback>
      </mc:AlternateContent>
    </w:r>
    <w:r/>
  </w:p>
  <w:p>
    <w:pPr>
      <w:pStyle w:val="800"/>
    </w:pPr>
    <w:r/>
    <w:r/>
  </w:p>
  <w:p>
    <w:r/>
    <w:r/>
  </w:p>
  <w:p>
    <w:r/>
    <w:r/>
  </w:p>
  <w:p>
    <w:r/>
    <w:r/>
  </w:p>
  <w:p>
    <w:r/>
    <w:r/>
  </w:p>
  <w:p>
    <w: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Wingdings" w:hAnsi="Wingdings" w:cs="Wingdings" w:eastAsia="Wingdings" w:hint="default"/>
      </w:rPr>
    </w:lvl>
    <w:lvl w:ilvl="4">
      <w:start w:val="1"/>
      <w:numFmt w:val="bullet"/>
      <w:isLgl w:val="false"/>
      <w:suff w:val="tab"/>
      <w:lvlText w:val=""/>
      <w:lvlJc w:val="left"/>
      <w:pPr>
        <w:ind w:left="3600" w:hanging="360"/>
      </w:pPr>
      <w:rPr>
        <w:rFonts w:ascii="Wingdings" w:hAnsi="Wingdings" w:cs="Wingdings" w:eastAsia="Wingdings"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Wingdings" w:hAnsi="Wingdings" w:cs="Wingdings" w:eastAsia="Wingdings" w:hint="default"/>
      </w:rPr>
    </w:lvl>
    <w:lvl w:ilvl="7">
      <w:start w:val="1"/>
      <w:numFmt w:val="bullet"/>
      <w:isLgl w:val="false"/>
      <w:suff w:val="tab"/>
      <w:lvlText w:val=""/>
      <w:lvlJc w:val="left"/>
      <w:pPr>
        <w:ind w:left="5760" w:hanging="360"/>
      </w:pPr>
      <w:rPr>
        <w:rFonts w:ascii="Wingdings" w:hAnsi="Wingdings" w:cs="Wingdings" w:eastAsia="Wingdings"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4">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6">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7">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Wingdings" w:hAnsi="Wingdings" w:cs="Wingdings" w:eastAsia="Wingdings" w:hint="default"/>
      </w:rPr>
    </w:lvl>
    <w:lvl w:ilvl="4">
      <w:start w:val="1"/>
      <w:numFmt w:val="bullet"/>
      <w:isLgl w:val="false"/>
      <w:suff w:val="tab"/>
      <w:lvlText w:val=""/>
      <w:lvlJc w:val="left"/>
      <w:pPr>
        <w:ind w:left="3600" w:hanging="360"/>
      </w:pPr>
      <w:rPr>
        <w:rFonts w:ascii="Wingdings" w:hAnsi="Wingdings" w:cs="Wingdings" w:eastAsia="Wingdings"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Wingdings" w:hAnsi="Wingdings" w:cs="Wingdings" w:eastAsia="Wingdings" w:hint="default"/>
      </w:rPr>
    </w:lvl>
    <w:lvl w:ilvl="7">
      <w:start w:val="1"/>
      <w:numFmt w:val="bullet"/>
      <w:isLgl w:val="false"/>
      <w:suff w:val="tab"/>
      <w:lvlText w:val=""/>
      <w:lvlJc w:val="left"/>
      <w:pPr>
        <w:ind w:left="5760" w:hanging="360"/>
      </w:pPr>
      <w:rPr>
        <w:rFonts w:ascii="Wingdings" w:hAnsi="Wingdings" w:cs="Wingdings" w:eastAsia="Wingdings"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8">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9">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0">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1">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2">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3">
    <w:multiLevelType w:val="hybridMultilevel"/>
    <w:lvl w:ilvl="0">
      <w:start w:val="1"/>
      <w:numFmt w:val="decimal"/>
      <w:isLgl w:val="false"/>
      <w:suff w:val="tab"/>
      <w:lvlText w:val="%1."/>
      <w:lvlJc w:val="left"/>
      <w:pPr>
        <w:ind w:left="720" w:hanging="360"/>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decimal"/>
      <w:isLgl w:val="false"/>
      <w:suff w:val="tab"/>
      <w:lvlText w:val="%3."/>
      <w:lvlJc w:val="left"/>
      <w:pPr>
        <w:ind w:left="2160" w:hanging="360"/>
      </w:pPr>
    </w:lvl>
    <w:lvl w:ilvl="3">
      <w:start w:val="1"/>
      <w:numFmt w:val="decimal"/>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decimal"/>
      <w:isLgl w:val="false"/>
      <w:suff w:val="tab"/>
      <w:lvlText w:val="%6."/>
      <w:lvlJc w:val="left"/>
      <w:pPr>
        <w:ind w:left="4320" w:hanging="360"/>
      </w:pPr>
    </w:lvl>
    <w:lvl w:ilvl="6">
      <w:start w:val="1"/>
      <w:numFmt w:val="decimal"/>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decimal"/>
      <w:isLgl w:val="false"/>
      <w:suff w:val="tab"/>
      <w:lvlText w:val="%9."/>
      <w:lvlJc w:val="left"/>
      <w:pPr>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hAnsi="Liberation Serif" w:cs="Mangal" w:eastAsia="SimSun" w:hint="default"/>
        <w:sz w:val="24"/>
        <w:szCs w:val="24"/>
        <w:lang w:val="it-IT" w:bidi="hi-IN"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
    <w:name w:val="Normal"/>
    <w:qFormat/>
  </w:style>
  <w:style w:type="character" w:styleId="9">
    <w:name w:val="Default Paragraph Font"/>
    <w:uiPriority w:val="1"/>
    <w:semiHidden/>
    <w:unhideWhenUsed/>
  </w:style>
  <w:style w:type="numbering" w:styleId="10">
    <w:name w:val="No List"/>
    <w:uiPriority w:val="99"/>
    <w:semiHidden/>
    <w:unhideWhenUsed/>
  </w:style>
  <w:style w:type="paragraph" w:styleId="11">
    <w:name w:val="Heading 1"/>
    <w:basedOn w:val="8"/>
    <w:next w:val="8"/>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9"/>
    <w:link w:val="11"/>
    <w:uiPriority w:val="9"/>
    <w:rPr>
      <w:rFonts w:ascii="Arial" w:hAnsi="Arial" w:cs="Arial" w:eastAsia="Arial"/>
      <w:sz w:val="40"/>
      <w:szCs w:val="40"/>
    </w:rPr>
  </w:style>
  <w:style w:type="paragraph" w:styleId="13">
    <w:name w:val="Heading 2"/>
    <w:basedOn w:val="8"/>
    <w:next w:val="8"/>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9"/>
    <w:link w:val="13"/>
    <w:uiPriority w:val="9"/>
    <w:rPr>
      <w:rFonts w:ascii="Arial" w:hAnsi="Arial" w:cs="Arial" w:eastAsia="Arial"/>
      <w:sz w:val="34"/>
    </w:rPr>
  </w:style>
  <w:style w:type="paragraph" w:styleId="15">
    <w:name w:val="Heading 3"/>
    <w:basedOn w:val="8"/>
    <w:next w:val="8"/>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9"/>
    <w:link w:val="15"/>
    <w:uiPriority w:val="9"/>
    <w:rPr>
      <w:rFonts w:ascii="Arial" w:hAnsi="Arial" w:cs="Arial" w:eastAsia="Arial"/>
      <w:sz w:val="30"/>
      <w:szCs w:val="30"/>
    </w:rPr>
  </w:style>
  <w:style w:type="paragraph" w:styleId="17">
    <w:name w:val="Heading 4"/>
    <w:basedOn w:val="8"/>
    <w:next w:val="8"/>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8"/>
    <w:next w:val="8"/>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8"/>
    <w:next w:val="8"/>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8"/>
    <w:next w:val="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8"/>
    <w:next w:val="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8"/>
    <w:next w:val="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9"/>
    <w:link w:val="27"/>
    <w:uiPriority w:val="9"/>
    <w:rPr>
      <w:rFonts w:ascii="Arial" w:hAnsi="Arial" w:cs="Arial" w:eastAsia="Arial"/>
      <w:i/>
      <w:iCs/>
      <w:sz w:val="21"/>
      <w:szCs w:val="21"/>
    </w:rPr>
  </w:style>
  <w:style w:type="paragraph" w:styleId="29">
    <w:name w:val="List Paragraph"/>
    <w:basedOn w:val="8"/>
    <w:uiPriority w:val="34"/>
    <w:qFormat/>
    <w:pPr>
      <w:contextualSpacing/>
      <w:ind w:left="720"/>
    </w:pPr>
  </w:style>
  <w:style w:type="table" w:styleId="30">
    <w:name w:val="Normal Table"/>
    <w:uiPriority w:val="99"/>
    <w:semiHidden/>
    <w:unhideWhenUsed/>
    <w:tblPr>
      <w:tblInd w:w="0" w:type="dxa"/>
      <w:tblCellMar>
        <w:left w:w="108" w:type="dxa"/>
        <w:top w:w="0" w:type="dxa"/>
        <w:right w:w="108" w:type="dxa"/>
        <w:bottom w:w="0" w:type="dxa"/>
      </w:tblCellMar>
    </w:tblPr>
  </w:style>
  <w:style w:type="paragraph" w:styleId="31">
    <w:name w:val="No Spacing"/>
    <w:uiPriority w:val="1"/>
    <w:qFormat/>
    <w:pPr>
      <w:spacing w:before="0" w:after="0" w:line="240" w:lineRule="auto"/>
    </w:pPr>
  </w:style>
  <w:style w:type="paragraph" w:styleId="32">
    <w:name w:val="Title"/>
    <w:basedOn w:val="8"/>
    <w:next w:val="8"/>
    <w:link w:val="33"/>
    <w:uiPriority w:val="10"/>
    <w:qFormat/>
    <w:pPr>
      <w:contextualSpacing/>
      <w:spacing w:before="300" w:after="200"/>
    </w:pPr>
    <w:rPr>
      <w:sz w:val="48"/>
      <w:szCs w:val="48"/>
    </w:rPr>
  </w:style>
  <w:style w:type="character" w:styleId="33">
    <w:name w:val="Title Char"/>
    <w:basedOn w:val="9"/>
    <w:link w:val="32"/>
    <w:uiPriority w:val="10"/>
    <w:rPr>
      <w:sz w:val="48"/>
      <w:szCs w:val="48"/>
    </w:rPr>
  </w:style>
  <w:style w:type="paragraph" w:styleId="34">
    <w:name w:val="Subtitle"/>
    <w:basedOn w:val="8"/>
    <w:next w:val="8"/>
    <w:link w:val="35"/>
    <w:uiPriority w:val="11"/>
    <w:qFormat/>
    <w:pPr>
      <w:spacing w:before="200" w:after="200"/>
    </w:pPr>
    <w:rPr>
      <w:sz w:val="24"/>
      <w:szCs w:val="24"/>
    </w:rPr>
  </w:style>
  <w:style w:type="character" w:styleId="35">
    <w:name w:val="Subtitle Char"/>
    <w:basedOn w:val="9"/>
    <w:link w:val="34"/>
    <w:uiPriority w:val="11"/>
    <w:rPr>
      <w:sz w:val="24"/>
      <w:szCs w:val="24"/>
    </w:rPr>
  </w:style>
  <w:style w:type="paragraph" w:styleId="36">
    <w:name w:val="Quote"/>
    <w:basedOn w:val="8"/>
    <w:next w:val="8"/>
    <w:link w:val="37"/>
    <w:uiPriority w:val="29"/>
    <w:qFormat/>
    <w:pPr>
      <w:ind w:left="720" w:right="720"/>
    </w:pPr>
    <w:rPr>
      <w:i/>
    </w:rPr>
  </w:style>
  <w:style w:type="character" w:styleId="37">
    <w:name w:val="Quote Char"/>
    <w:link w:val="36"/>
    <w:uiPriority w:val="29"/>
    <w:rPr>
      <w:i/>
    </w:rPr>
  </w:style>
  <w:style w:type="paragraph" w:styleId="38">
    <w:name w:val="Intense Quote"/>
    <w:basedOn w:val="8"/>
    <w:next w:val="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8"/>
    <w:link w:val="41"/>
    <w:uiPriority w:val="99"/>
    <w:unhideWhenUsed/>
    <w:pPr>
      <w:spacing w:after="0" w:line="240" w:lineRule="auto"/>
      <w:tabs>
        <w:tab w:val="center" w:pos="7143" w:leader="none"/>
        <w:tab w:val="right" w:pos="14287" w:leader="none"/>
      </w:tabs>
    </w:pPr>
  </w:style>
  <w:style w:type="character" w:styleId="41">
    <w:name w:val="Header Char"/>
    <w:basedOn w:val="9"/>
    <w:link w:val="40"/>
    <w:uiPriority w:val="99"/>
  </w:style>
  <w:style w:type="paragraph" w:styleId="42">
    <w:name w:val="Footer"/>
    <w:basedOn w:val="8"/>
    <w:link w:val="45"/>
    <w:uiPriority w:val="99"/>
    <w:unhideWhenUsed/>
    <w:pPr>
      <w:spacing w:after="0" w:line="240" w:lineRule="auto"/>
      <w:tabs>
        <w:tab w:val="center" w:pos="7143" w:leader="none"/>
        <w:tab w:val="right" w:pos="14287" w:leader="none"/>
      </w:tabs>
    </w:pPr>
  </w:style>
  <w:style w:type="character" w:styleId="43">
    <w:name w:val="Footer Char"/>
    <w:basedOn w:val="9"/>
    <w:link w:val="42"/>
    <w:uiPriority w:val="99"/>
  </w:style>
  <w:style w:type="paragraph" w:styleId="44">
    <w:name w:val="Caption"/>
    <w:basedOn w:val="8"/>
    <w:next w:val="8"/>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3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3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3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3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3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3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3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8"/>
    <w:next w:val="8"/>
    <w:uiPriority w:val="39"/>
    <w:unhideWhenUsed/>
    <w:pPr>
      <w:ind w:left="0" w:right="0" w:firstLine="0"/>
      <w:spacing w:after="57"/>
    </w:pPr>
  </w:style>
  <w:style w:type="paragraph" w:styleId="180">
    <w:name w:val="toc 2"/>
    <w:basedOn w:val="8"/>
    <w:next w:val="8"/>
    <w:uiPriority w:val="39"/>
    <w:unhideWhenUsed/>
    <w:pPr>
      <w:ind w:left="283" w:right="0" w:firstLine="0"/>
      <w:spacing w:after="57"/>
    </w:pPr>
  </w:style>
  <w:style w:type="paragraph" w:styleId="181">
    <w:name w:val="toc 3"/>
    <w:basedOn w:val="8"/>
    <w:next w:val="8"/>
    <w:uiPriority w:val="39"/>
    <w:unhideWhenUsed/>
    <w:pPr>
      <w:ind w:left="567" w:right="0" w:firstLine="0"/>
      <w:spacing w:after="57"/>
    </w:pPr>
  </w:style>
  <w:style w:type="paragraph" w:styleId="182">
    <w:name w:val="toc 4"/>
    <w:basedOn w:val="8"/>
    <w:next w:val="8"/>
    <w:uiPriority w:val="39"/>
    <w:unhideWhenUsed/>
    <w:pPr>
      <w:ind w:left="850" w:right="0" w:firstLine="0"/>
      <w:spacing w:after="57"/>
    </w:pPr>
  </w:style>
  <w:style w:type="paragraph" w:styleId="183">
    <w:name w:val="toc 5"/>
    <w:basedOn w:val="8"/>
    <w:next w:val="8"/>
    <w:uiPriority w:val="39"/>
    <w:unhideWhenUsed/>
    <w:pPr>
      <w:ind w:left="1134" w:right="0" w:firstLine="0"/>
      <w:spacing w:after="57"/>
    </w:pPr>
  </w:style>
  <w:style w:type="paragraph" w:styleId="184">
    <w:name w:val="toc 6"/>
    <w:basedOn w:val="8"/>
    <w:next w:val="8"/>
    <w:uiPriority w:val="39"/>
    <w:unhideWhenUsed/>
    <w:pPr>
      <w:ind w:left="1417" w:right="0" w:firstLine="0"/>
      <w:spacing w:after="57"/>
    </w:pPr>
  </w:style>
  <w:style w:type="paragraph" w:styleId="185">
    <w:name w:val="toc 7"/>
    <w:basedOn w:val="8"/>
    <w:next w:val="8"/>
    <w:uiPriority w:val="39"/>
    <w:unhideWhenUsed/>
    <w:pPr>
      <w:ind w:left="1701" w:right="0" w:firstLine="0"/>
      <w:spacing w:after="57"/>
    </w:pPr>
  </w:style>
  <w:style w:type="paragraph" w:styleId="186">
    <w:name w:val="toc 8"/>
    <w:basedOn w:val="8"/>
    <w:next w:val="8"/>
    <w:uiPriority w:val="39"/>
    <w:unhideWhenUsed/>
    <w:pPr>
      <w:ind w:left="1984" w:right="0" w:firstLine="0"/>
      <w:spacing w:after="57"/>
    </w:pPr>
  </w:style>
  <w:style w:type="paragraph" w:styleId="187">
    <w:name w:val="toc 9"/>
    <w:basedOn w:val="8"/>
    <w:next w:val="8"/>
    <w:uiPriority w:val="39"/>
    <w:unhideWhenUsed/>
    <w:pPr>
      <w:ind w:left="2268" w:right="0" w:firstLine="0"/>
      <w:spacing w:after="57"/>
    </w:pPr>
  </w:style>
  <w:style w:type="paragraph" w:styleId="188">
    <w:name w:val="TOC Heading"/>
    <w:uiPriority w:val="39"/>
    <w:unhideWhenUsed/>
  </w:style>
  <w:style w:type="paragraph" w:styleId="189">
    <w:name w:val="table of figures"/>
    <w:basedOn w:val="8"/>
    <w:next w:val="8"/>
    <w:uiPriority w:val="99"/>
    <w:unhideWhenUsed/>
    <w:pPr>
      <w:spacing w:after="0" w:afterAutospacing="0"/>
    </w:pPr>
  </w:style>
  <w:style w:type="paragraph" w:styleId="757">
    <w:name w:val="Header f4a7330e69fa0ac74596269bb46f361c"/>
    <w:basedOn w:val="772"/>
    <w:link w:val="758"/>
    <w:uiPriority w:val="99"/>
    <w:unhideWhenUsed/>
    <w:pPr>
      <w:spacing w:after="0" w:line="240" w:lineRule="auto"/>
      <w:tabs>
        <w:tab w:val="center" w:pos="7143" w:leader="none"/>
        <w:tab w:val="right" w:pos="14287" w:leader="none"/>
      </w:tabs>
    </w:pPr>
  </w:style>
  <w:style w:type="character" w:styleId="758">
    <w:name w:val="Header Char f4a7330e69fa0ac74596269bb46f361c"/>
    <w:link w:val="757"/>
    <w:uiPriority w:val="99"/>
  </w:style>
  <w:style w:type="paragraph" w:styleId="759">
    <w:name w:val="Footer f4a7330e69fa0ac74596269bb46f361c"/>
    <w:basedOn w:val="772"/>
    <w:link w:val="761"/>
    <w:uiPriority w:val="99"/>
    <w:unhideWhenUsed/>
    <w:pPr>
      <w:spacing w:after="0" w:line="240" w:lineRule="auto"/>
      <w:tabs>
        <w:tab w:val="center" w:pos="7143" w:leader="none"/>
        <w:tab w:val="right" w:pos="14287" w:leader="none"/>
      </w:tabs>
    </w:pPr>
  </w:style>
  <w:style w:type="character" w:styleId="760">
    <w:name w:val="Footer Char f4a7330e69fa0ac74596269bb46f361c"/>
    <w:link w:val="759"/>
    <w:uiPriority w:val="99"/>
  </w:style>
  <w:style w:type="character" w:styleId="761">
    <w:name w:val="Caption Char f4a7330e69fa0ac74596269bb46f361c"/>
    <w:link w:val="759"/>
    <w:uiPriority w:val="99"/>
  </w:style>
  <w:style w:type="character" w:styleId="762">
    <w:name w:val="Hyperlink f4a7330e69fa0ac74596269bb46f361c"/>
    <w:uiPriority w:val="99"/>
    <w:unhideWhenUsed/>
    <w:rPr>
      <w:color w:val="0000FF" w:themeColor="hyperlink"/>
      <w:u w:val="single"/>
    </w:rPr>
  </w:style>
  <w:style w:type="paragraph" w:styleId="763">
    <w:name w:val="toc 1 f4a7330e69fa0ac74596269bb46f361c"/>
    <w:basedOn w:val="772"/>
    <w:uiPriority w:val="39"/>
    <w:unhideWhenUsed/>
    <w:pPr>
      <w:ind w:left="0" w:right="0" w:firstLine="0"/>
      <w:spacing w:after="57"/>
    </w:pPr>
  </w:style>
  <w:style w:type="paragraph" w:styleId="764">
    <w:name w:val="toc 2 f4a7330e69fa0ac74596269bb46f361c"/>
    <w:basedOn w:val="772"/>
    <w:uiPriority w:val="39"/>
    <w:unhideWhenUsed/>
    <w:pPr>
      <w:ind w:left="283" w:right="0" w:firstLine="0"/>
      <w:spacing w:after="57"/>
    </w:pPr>
  </w:style>
  <w:style w:type="paragraph" w:styleId="765">
    <w:name w:val="toc 3 f4a7330e69fa0ac74596269bb46f361c"/>
    <w:basedOn w:val="772"/>
    <w:uiPriority w:val="39"/>
    <w:unhideWhenUsed/>
    <w:pPr>
      <w:ind w:left="567" w:right="0" w:firstLine="0"/>
      <w:spacing w:after="57"/>
    </w:pPr>
  </w:style>
  <w:style w:type="paragraph" w:styleId="766">
    <w:name w:val="toc 4 f4a7330e69fa0ac74596269bb46f361c"/>
    <w:basedOn w:val="772"/>
    <w:uiPriority w:val="39"/>
    <w:unhideWhenUsed/>
    <w:pPr>
      <w:ind w:left="850" w:right="0" w:firstLine="0"/>
      <w:spacing w:after="57"/>
    </w:pPr>
  </w:style>
  <w:style w:type="paragraph" w:styleId="767">
    <w:name w:val="toc 5 f4a7330e69fa0ac74596269bb46f361c"/>
    <w:basedOn w:val="772"/>
    <w:uiPriority w:val="39"/>
    <w:unhideWhenUsed/>
    <w:pPr>
      <w:ind w:left="1134" w:right="0" w:firstLine="0"/>
      <w:spacing w:after="57"/>
    </w:pPr>
  </w:style>
  <w:style w:type="paragraph" w:styleId="768">
    <w:name w:val="toc 6 f4a7330e69fa0ac74596269bb46f361c"/>
    <w:basedOn w:val="772"/>
    <w:uiPriority w:val="39"/>
    <w:unhideWhenUsed/>
    <w:pPr>
      <w:ind w:left="1417" w:right="0" w:firstLine="0"/>
      <w:spacing w:after="57"/>
    </w:pPr>
  </w:style>
  <w:style w:type="paragraph" w:styleId="769">
    <w:name w:val="toc 7 f4a7330e69fa0ac74596269bb46f361c"/>
    <w:basedOn w:val="772"/>
    <w:uiPriority w:val="39"/>
    <w:unhideWhenUsed/>
    <w:pPr>
      <w:ind w:left="1701" w:right="0" w:firstLine="0"/>
      <w:spacing w:after="57"/>
    </w:pPr>
  </w:style>
  <w:style w:type="paragraph" w:styleId="770">
    <w:name w:val="toc 8 f4a7330e69fa0ac74596269bb46f361c"/>
    <w:basedOn w:val="772"/>
    <w:uiPriority w:val="39"/>
    <w:unhideWhenUsed/>
    <w:pPr>
      <w:ind w:left="1984" w:right="0" w:firstLine="0"/>
      <w:spacing w:after="57"/>
    </w:pPr>
  </w:style>
  <w:style w:type="paragraph" w:styleId="771">
    <w:name w:val="toc 9 f4a7330e69fa0ac74596269bb46f361c"/>
    <w:basedOn w:val="772"/>
    <w:uiPriority w:val="39"/>
    <w:unhideWhenUsed/>
    <w:pPr>
      <w:ind w:left="2268" w:right="0" w:firstLine="0"/>
      <w:spacing w:after="57"/>
    </w:pPr>
  </w:style>
  <w:style w:type="paragraph" w:styleId="772" w:default="1">
    <w:name w:val="Normal f4a7330e69fa0ac74596269bb46f361c"/>
    <w:qFormat/>
    <w:pPr>
      <w:widowControl w:val="off"/>
    </w:pPr>
    <w:rPr>
      <w:rFonts w:ascii="Liberation Serif" w:hAnsi="Liberation Serif" w:cs="Mangal" w:eastAsia="SimSun"/>
      <w:color w:val="auto"/>
      <w:sz w:val="24"/>
      <w:szCs w:val="24"/>
      <w:lang w:val="it-IT" w:bidi="hi-IN" w:eastAsia="zh-CN"/>
    </w:rPr>
  </w:style>
  <w:style w:type="character" w:styleId="773" w:default="1">
    <w:name w:val="Default Paragraph Font f4a7330e69fa0ac74596269bb46f361c"/>
    <w:uiPriority w:val="1"/>
    <w:semiHidden/>
    <w:unhideWhenUsed/>
  </w:style>
  <w:style w:type="numbering" w:styleId="774" w:default="1">
    <w:name w:val="No List f4a7330e69fa0ac74596269bb46f361c"/>
    <w:uiPriority w:val="99"/>
    <w:semiHidden/>
    <w:unhideWhenUsed/>
  </w:style>
  <w:style w:type="table" w:styleId="775" w:default="1">
    <w:name w:val="Normal Table f4a7330e69fa0ac74596269bb46f361c"/>
    <w:uiPriority w:val="99"/>
    <w:semiHidden/>
    <w:unhideWhenUsed/>
    <w:tblPr/>
  </w:style>
  <w:style w:type="character" w:styleId="776">
    <w:name w:val="Hyperlink 4e587d5f3e4ddac309874dee7bd109bd"/>
    <w:uiPriority w:val="99"/>
    <w:unhideWhenUsed/>
    <w:rPr>
      <w:color w:val="0000FF" w:themeColor="hyperlink"/>
      <w:u w:val="single"/>
    </w:rPr>
  </w:style>
  <w:style w:type="paragraph" w:styleId="777">
    <w:name w:val="toc 1 4e587d5f3e4ddac309874dee7bd109bd"/>
    <w:basedOn w:val="786"/>
    <w:uiPriority w:val="39"/>
    <w:unhideWhenUsed/>
    <w:pPr>
      <w:ind w:left="0" w:right="0" w:firstLine="0"/>
      <w:spacing w:after="57"/>
    </w:pPr>
  </w:style>
  <w:style w:type="paragraph" w:styleId="778">
    <w:name w:val="toc 2 4e587d5f3e4ddac309874dee7bd109bd"/>
    <w:basedOn w:val="786"/>
    <w:uiPriority w:val="39"/>
    <w:unhideWhenUsed/>
    <w:pPr>
      <w:ind w:left="283" w:right="0" w:firstLine="0"/>
      <w:spacing w:after="57"/>
    </w:pPr>
  </w:style>
  <w:style w:type="paragraph" w:styleId="779">
    <w:name w:val="toc 3 4e587d5f3e4ddac309874dee7bd109bd"/>
    <w:basedOn w:val="786"/>
    <w:uiPriority w:val="39"/>
    <w:unhideWhenUsed/>
    <w:pPr>
      <w:ind w:left="567" w:right="0" w:firstLine="0"/>
      <w:spacing w:after="57"/>
    </w:pPr>
  </w:style>
  <w:style w:type="paragraph" w:styleId="780">
    <w:name w:val="toc 4 4e587d5f3e4ddac309874dee7bd109bd"/>
    <w:basedOn w:val="786"/>
    <w:uiPriority w:val="39"/>
    <w:unhideWhenUsed/>
    <w:pPr>
      <w:ind w:left="850" w:right="0" w:firstLine="0"/>
      <w:spacing w:after="57"/>
    </w:pPr>
  </w:style>
  <w:style w:type="paragraph" w:styleId="781">
    <w:name w:val="toc 5 4e587d5f3e4ddac309874dee7bd109bd"/>
    <w:basedOn w:val="786"/>
    <w:uiPriority w:val="39"/>
    <w:unhideWhenUsed/>
    <w:pPr>
      <w:ind w:left="1134" w:right="0" w:firstLine="0"/>
      <w:spacing w:after="57"/>
    </w:pPr>
  </w:style>
  <w:style w:type="paragraph" w:styleId="782">
    <w:name w:val="toc 6 4e587d5f3e4ddac309874dee7bd109bd"/>
    <w:basedOn w:val="786"/>
    <w:uiPriority w:val="39"/>
    <w:unhideWhenUsed/>
    <w:pPr>
      <w:ind w:left="1417" w:right="0" w:firstLine="0"/>
      <w:spacing w:after="57"/>
    </w:pPr>
  </w:style>
  <w:style w:type="paragraph" w:styleId="783">
    <w:name w:val="toc 7 4e587d5f3e4ddac309874dee7bd109bd"/>
    <w:basedOn w:val="786"/>
    <w:uiPriority w:val="39"/>
    <w:unhideWhenUsed/>
    <w:pPr>
      <w:ind w:left="1701" w:right="0" w:firstLine="0"/>
      <w:spacing w:after="57"/>
    </w:pPr>
  </w:style>
  <w:style w:type="paragraph" w:styleId="784">
    <w:name w:val="toc 8 4e587d5f3e4ddac309874dee7bd109bd"/>
    <w:basedOn w:val="786"/>
    <w:uiPriority w:val="39"/>
    <w:unhideWhenUsed/>
    <w:pPr>
      <w:ind w:left="1984" w:right="0" w:firstLine="0"/>
      <w:spacing w:after="57"/>
    </w:pPr>
  </w:style>
  <w:style w:type="paragraph" w:styleId="785">
    <w:name w:val="toc 9 4e587d5f3e4ddac309874dee7bd109bd"/>
    <w:basedOn w:val="786"/>
    <w:uiPriority w:val="39"/>
    <w:unhideWhenUsed/>
    <w:pPr>
      <w:ind w:left="2268" w:right="0" w:firstLine="0"/>
      <w:spacing w:after="57"/>
    </w:pPr>
  </w:style>
  <w:style w:type="paragraph" w:styleId="786">
    <w:name w:val="Normal 4e587d5f3e4ddac309874dee7bd109bd"/>
    <w:pPr>
      <w:widowControl w:val="off"/>
    </w:pPr>
    <w:rPr>
      <w:rFonts w:ascii="Liberation Serif" w:hAnsi="Liberation Serif" w:cs="Mangal" w:eastAsia="SimSun"/>
      <w:color w:val="auto"/>
      <w:sz w:val="24"/>
      <w:szCs w:val="24"/>
      <w:lang w:val="it-IT" w:bidi="hi-IN" w:eastAsia="zh-CN"/>
    </w:rPr>
  </w:style>
  <w:style w:type="character" w:styleId="787">
    <w:name w:val="Default Paragraph Font 4e587d5f3e4ddac309874dee7bd109bd"/>
    <w:uiPriority w:val="1"/>
    <w:semiHidden/>
    <w:unhideWhenUsed/>
  </w:style>
  <w:style w:type="numbering" w:styleId="788">
    <w:name w:val="No List 4e587d5f3e4ddac309874dee7bd109bd"/>
    <w:uiPriority w:val="99"/>
    <w:semiHidden/>
    <w:unhideWhenUsed/>
  </w:style>
  <w:style w:type="table" w:styleId="789">
    <w:name w:val="Normal Table 4e587d5f3e4ddac309874dee7bd109bd"/>
    <w:uiPriority w:val="99"/>
    <w:semiHidden/>
    <w:unhideWhenUsed/>
    <w:tblPr/>
  </w:style>
  <w:style w:type="character" w:styleId="790">
    <w:name w:val="Hyperlink d492273fb536d62adadabe5f574882bb"/>
    <w:uiPriority w:val="99"/>
    <w:unhideWhenUsed/>
    <w:rPr>
      <w:color w:val="0000FF" w:themeColor="hyperlink"/>
      <w:u w:val="single"/>
    </w:rPr>
  </w:style>
  <w:style w:type="paragraph" w:styleId="791">
    <w:name w:val="toc 1 d492273fb536d62adadabe5f574882bb"/>
    <w:basedOn w:val="800"/>
    <w:uiPriority w:val="39"/>
    <w:unhideWhenUsed/>
    <w:pPr>
      <w:ind w:left="0" w:right="0" w:firstLine="0"/>
      <w:spacing w:after="57"/>
    </w:pPr>
  </w:style>
  <w:style w:type="paragraph" w:styleId="792">
    <w:name w:val="toc 2 d492273fb536d62adadabe5f574882bb"/>
    <w:basedOn w:val="800"/>
    <w:uiPriority w:val="39"/>
    <w:unhideWhenUsed/>
    <w:pPr>
      <w:ind w:left="283" w:right="0" w:firstLine="0"/>
      <w:spacing w:after="57"/>
    </w:pPr>
  </w:style>
  <w:style w:type="paragraph" w:styleId="793">
    <w:name w:val="toc 3 d492273fb536d62adadabe5f574882bb"/>
    <w:basedOn w:val="800"/>
    <w:uiPriority w:val="39"/>
    <w:unhideWhenUsed/>
    <w:pPr>
      <w:ind w:left="567" w:right="0" w:firstLine="0"/>
      <w:spacing w:after="57"/>
    </w:pPr>
  </w:style>
  <w:style w:type="paragraph" w:styleId="794">
    <w:name w:val="toc 4 d492273fb536d62adadabe5f574882bb"/>
    <w:basedOn w:val="800"/>
    <w:uiPriority w:val="39"/>
    <w:unhideWhenUsed/>
    <w:pPr>
      <w:ind w:left="850" w:right="0" w:firstLine="0"/>
      <w:spacing w:after="57"/>
    </w:pPr>
  </w:style>
  <w:style w:type="paragraph" w:styleId="795">
    <w:name w:val="toc 5 d492273fb536d62adadabe5f574882bb"/>
    <w:basedOn w:val="800"/>
    <w:uiPriority w:val="39"/>
    <w:unhideWhenUsed/>
    <w:pPr>
      <w:ind w:left="1134" w:right="0" w:firstLine="0"/>
      <w:spacing w:after="57"/>
    </w:pPr>
  </w:style>
  <w:style w:type="paragraph" w:styleId="796">
    <w:name w:val="toc 6 d492273fb536d62adadabe5f574882bb"/>
    <w:basedOn w:val="800"/>
    <w:uiPriority w:val="39"/>
    <w:unhideWhenUsed/>
    <w:pPr>
      <w:ind w:left="1417" w:right="0" w:firstLine="0"/>
      <w:spacing w:after="57"/>
    </w:pPr>
  </w:style>
  <w:style w:type="paragraph" w:styleId="797">
    <w:name w:val="toc 7 d492273fb536d62adadabe5f574882bb"/>
    <w:basedOn w:val="800"/>
    <w:uiPriority w:val="39"/>
    <w:unhideWhenUsed/>
    <w:pPr>
      <w:ind w:left="1701" w:right="0" w:firstLine="0"/>
      <w:spacing w:after="57"/>
    </w:pPr>
  </w:style>
  <w:style w:type="paragraph" w:styleId="798">
    <w:name w:val="toc 8 d492273fb536d62adadabe5f574882bb"/>
    <w:basedOn w:val="800"/>
    <w:uiPriority w:val="39"/>
    <w:unhideWhenUsed/>
    <w:pPr>
      <w:ind w:left="1984" w:right="0" w:firstLine="0"/>
      <w:spacing w:after="57"/>
    </w:pPr>
  </w:style>
  <w:style w:type="paragraph" w:styleId="799">
    <w:name w:val="toc 9 d492273fb536d62adadabe5f574882bb"/>
    <w:basedOn w:val="800"/>
    <w:uiPriority w:val="39"/>
    <w:unhideWhenUsed/>
    <w:pPr>
      <w:ind w:left="2268" w:right="0" w:firstLine="0"/>
      <w:spacing w:after="57"/>
    </w:pPr>
  </w:style>
  <w:style w:type="paragraph" w:styleId="800">
    <w:name w:val="Normal d492273fb536d62adadabe5f574882bb"/>
    <w:pPr>
      <w:widowControl w:val="off"/>
    </w:pPr>
    <w:rPr>
      <w:rFonts w:ascii="Liberation Serif" w:hAnsi="Liberation Serif" w:cs="Mangal" w:eastAsia="SimSun"/>
      <w:color w:val="auto"/>
      <w:sz w:val="24"/>
      <w:szCs w:val="24"/>
      <w:lang w:val="it-IT" w:bidi="hi-IN" w:eastAsia="zh-CN"/>
    </w:rPr>
  </w:style>
  <w:style w:type="character" w:styleId="801">
    <w:name w:val="Default Paragraph Font d492273fb536d62adadabe5f574882bb"/>
    <w:uiPriority w:val="1"/>
    <w:semiHidden/>
    <w:unhideWhenUsed/>
  </w:style>
  <w:style w:type="numbering" w:styleId="802">
    <w:name w:val="No List d492273fb536d62adadabe5f574882bb"/>
    <w:uiPriority w:val="99"/>
    <w:semiHidden/>
    <w:unhideWhenUsed/>
  </w:style>
  <w:style w:type="table" w:styleId="803">
    <w:name w:val="Normal Table d492273fb536d62adadabe5f574882bb"/>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lastModifiedBy>s.burghiani</cp:lastModifiedBy>
  <cp:revision>18</cp:revision>
  <dcterms:created xsi:type="dcterms:W3CDTF">2016-01-21T15:36:37Z</dcterms:created>
  <dcterms:modified xsi:type="dcterms:W3CDTF">2026-04-24T10:53:33Z</dcterms:modified>
</cp:coreProperties>
</file>