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tabs>
          <w:tab w:val="left" w:pos="708" w:leader="none"/>
          <w:tab w:val="center" w:pos="4819" w:leader="none"/>
          <w:tab w:val="right" w:pos="9638" w:leader="none"/>
        </w:tabs>
        <w:rPr>
          <w:rFonts w:ascii="Tahoma" w:hAnsi="Tahoma" w:cs="Tahoma" w:eastAsia="Times New Roman"/>
          <w:lang w:eastAsia="it-IT"/>
        </w:rPr>
      </w:pPr>
      <w:r>
        <w:rPr>
          <w:rFonts w:ascii="Tahoma" w:hAnsi="Tahoma" w:cs="Tahoma" w:eastAsia="Times New Roman"/>
          <w:b/>
          <w:lang w:eastAsia="it-IT"/>
        </w:rPr>
      </w:r>
      <w:r>
        <w:rPr>
          <w:rFonts w:ascii="Tahoma" w:hAnsi="Tahoma" w:cs="Tahoma" w:eastAsia="Times New Roman"/>
          <w:lang w:eastAsia="it-IT"/>
        </w:rPr>
      </w:r>
      <w:r/>
    </w:p>
    <w:p>
      <w:pPr>
        <w:jc w:val="center"/>
        <w:tabs>
          <w:tab w:val="left" w:pos="708" w:leader="none"/>
          <w:tab w:val="center" w:pos="4819" w:leader="none"/>
          <w:tab w:val="right" w:pos="9638" w:leader="none"/>
        </w:tabs>
        <w:rPr>
          <w:rFonts w:ascii="Arial" w:hAnsi="Arial" w:cs="Arial" w:eastAsia="Arial"/>
        </w:rPr>
      </w:pPr>
      <w:r>
        <w:rPr>
          <w:rFonts w:ascii="Arial" w:hAnsi="Arial" w:cs="Arial" w:eastAsia="Arial"/>
          <w:b/>
          <w:sz w:val="24"/>
          <w:lang w:eastAsia="it-IT"/>
        </w:rPr>
        <w:t xml:space="preserve">PROPOSTA DI DELIBERAZIONE</w:t>
      </w:r>
      <w:r>
        <w:rPr>
          <w:rFonts w:ascii="Arial" w:hAnsi="Arial" w:cs="Arial" w:eastAsia="Arial"/>
          <w:sz w:val="24"/>
        </w:rPr>
      </w:r>
      <w:r/>
    </w:p>
    <w:p>
      <w:pPr>
        <w:jc w:val="center"/>
        <w:tabs>
          <w:tab w:val="left" w:pos="708" w:leader="none"/>
          <w:tab w:val="center" w:pos="4819" w:leader="none"/>
          <w:tab w:val="right" w:pos="9638" w:leader="none"/>
        </w:tabs>
        <w:rPr>
          <w:rFonts w:ascii="Arial" w:hAnsi="Arial" w:cs="Arial" w:eastAsia="Arial"/>
          <w:highlight w:val="none"/>
        </w:rPr>
      </w:pPr>
      <w:r>
        <w:rPr>
          <w:rFonts w:ascii="Arial" w:hAnsi="Arial" w:cs="Arial" w:eastAsia="Arial"/>
          <w:b/>
          <w:sz w:val="24"/>
          <w:lang w:eastAsia="it-IT"/>
        </w:rPr>
        <w:t xml:space="preserve">DEL CONSIGLIO COMUNALE</w:t>
      </w:r>
      <w:r>
        <w:rPr>
          <w:rFonts w:ascii="Arial" w:hAnsi="Arial" w:cs="Arial" w:eastAsia="Arial"/>
          <w:sz w:val="24"/>
          <w:highlight w:val="none"/>
        </w:rPr>
      </w:r>
      <w:r/>
    </w:p>
    <w:p>
      <w:pPr>
        <w:jc w:val="center"/>
        <w:tabs>
          <w:tab w:val="left" w:pos="708" w:leader="none"/>
          <w:tab w:val="center" w:pos="4819" w:leader="none"/>
          <w:tab w:val="right" w:pos="9638" w:leader="none"/>
        </w:tabs>
        <w:rPr>
          <w:rFonts w:ascii="Arial" w:hAnsi="Arial" w:cs="Arial" w:eastAsia="Arial"/>
          <w:highlight w:val="none"/>
        </w:rPr>
      </w:pPr>
      <w:r>
        <w:rPr>
          <w:rFonts w:ascii="Arial" w:hAnsi="Arial" w:cs="Arial" w:eastAsia="Arial"/>
          <w:sz w:val="24"/>
          <w:highlight w:val="none"/>
        </w:rPr>
      </w:r>
      <w:r>
        <w:rPr>
          <w:rFonts w:ascii="Arial" w:hAnsi="Arial" w:cs="Arial" w:eastAsia="Arial"/>
          <w:sz w:val="24"/>
          <w:highlight w:val="none"/>
        </w:rPr>
      </w:r>
      <w:r/>
    </w:p>
    <w:p>
      <w:pPr>
        <w:jc w:val="center"/>
        <w:tabs>
          <w:tab w:val="left" w:pos="708" w:leader="none"/>
          <w:tab w:val="center" w:pos="4819" w:leader="none"/>
          <w:tab w:val="right" w:pos="9638" w:leader="none"/>
        </w:tabs>
        <w:rPr>
          <w:rFonts w:ascii="Arial" w:hAnsi="Arial" w:cs="Arial" w:eastAsia="Arial"/>
        </w:rPr>
      </w:pPr>
      <w:r>
        <w:rPr>
          <w:rFonts w:ascii="Arial" w:hAnsi="Arial" w:cs="Arial" w:eastAsia="Arial"/>
          <w:b/>
          <w:sz w:val="24"/>
          <w:highlight w:val="none"/>
          <w:lang w:eastAsia="it-IT"/>
        </w:rPr>
        <w:t xml:space="preserve">n. </w:t>
      </w:r>
      <w:r>
        <w:rPr>
          <w:rFonts w:ascii="Arial" w:hAnsi="Arial" w:cs="Arial" w:eastAsia="Arial"/>
          <w:b/>
          <w:sz w:val="24"/>
          <w:lang w:eastAsia="it-IT"/>
        </w:rPr>
        <w:t xml:space="preserve">855 del </w:t>
      </w:r>
      <w:r>
        <w:rPr>
          <w:rFonts w:ascii="Arial" w:hAnsi="Arial" w:cs="Arial" w:eastAsia="Arial"/>
          <w:b/>
          <w:sz w:val="24"/>
          <w:lang w:eastAsia="it-IT"/>
        </w:rPr>
        <w:t xml:space="preserve">19/07/2026</w:t>
      </w:r>
      <w:r>
        <w:rPr>
          <w:rFonts w:ascii="Arial" w:hAnsi="Arial" w:cs="Arial" w:eastAsia="Arial"/>
          <w:sz w:val="24"/>
        </w:rPr>
      </w:r>
      <w:r/>
    </w:p>
    <w:p>
      <w:pPr>
        <w:tabs>
          <w:tab w:val="left" w:pos="708" w:leader="none"/>
          <w:tab w:val="center" w:pos="4819" w:leader="none"/>
          <w:tab w:val="right" w:pos="9638" w:leader="none"/>
        </w:tabs>
        <w:rPr>
          <w:rFonts w:ascii="Arial" w:hAnsi="Arial" w:cs="Arial" w:eastAsia="Arial"/>
        </w:rPr>
      </w:pPr>
      <w:r>
        <w:rPr>
          <w:rFonts w:ascii="Arial" w:hAnsi="Arial" w:cs="Arial" w:eastAsia="Arial"/>
          <w:sz w:val="24"/>
          <w:szCs w:val="14"/>
          <w:lang w:eastAsia="it-IT"/>
        </w:rPr>
      </w:r>
      <w:r>
        <w:rPr>
          <w:rFonts w:ascii="Arial" w:hAnsi="Arial" w:cs="Arial" w:eastAsia="Arial"/>
          <w:sz w:val="24"/>
        </w:rPr>
      </w:r>
      <w:r/>
    </w:p>
    <w:p>
      <w:pPr>
        <w:tabs>
          <w:tab w:val="left" w:pos="708" w:leader="none"/>
          <w:tab w:val="center" w:pos="4819" w:leader="none"/>
          <w:tab w:val="right" w:pos="9638" w:leader="none"/>
        </w:tabs>
        <w:rPr>
          <w:rFonts w:ascii="Arial" w:hAnsi="Arial" w:cs="Arial" w:eastAsia="Arial"/>
        </w:rPr>
      </w:pPr>
      <w:r>
        <w:rPr>
          <w:rFonts w:ascii="Arial" w:hAnsi="Arial" w:cs="Arial" w:eastAsia="Arial"/>
          <w:sz w:val="24"/>
          <w:szCs w:val="14"/>
          <w:lang w:eastAsia="it-IT"/>
        </w:rPr>
      </w:r>
      <w:r>
        <w:rPr>
          <w:rFonts w:ascii="Arial" w:hAnsi="Arial" w:cs="Arial" w:eastAsia="Arial"/>
          <w:sz w:val="24"/>
        </w:rPr>
      </w:r>
      <w:r/>
    </w:p>
    <w:p>
      <w:pPr>
        <w:jc w:val="both"/>
        <w:tabs>
          <w:tab w:val="left" w:pos="708" w:leader="none"/>
          <w:tab w:val="center" w:pos="4819" w:leader="none"/>
          <w:tab w:val="right" w:pos="9638" w:leader="none"/>
        </w:tabs>
        <w:rPr>
          <w:rFonts w:ascii="Arial" w:hAnsi="Arial" w:cs="Arial" w:eastAsia="Arial"/>
        </w:rPr>
      </w:pPr>
      <w:r>
        <w:rPr>
          <w:rFonts w:ascii="Arial" w:hAnsi="Arial" w:cs="Arial" w:eastAsia="Arial"/>
          <w:b/>
          <w:sz w:val="24"/>
          <w:lang w:eastAsia="it-IT"/>
        </w:rPr>
        <w:t xml:space="preserve">OGGETTO:</w:t>
      </w:r>
      <w:r>
        <w:rPr>
          <w:rFonts w:ascii="Arial" w:hAnsi="Arial" w:cs="Arial" w:eastAsia="Arial"/>
          <w:sz w:val="24"/>
        </w:rPr>
      </w:r>
      <w:r/>
    </w:p>
    <w:p>
      <w:pPr>
        <w:rPr>
          <w:rFonts w:ascii="Arial" w:hAnsi="Arial" w:cs="Arial" w:eastAsia="Arial"/>
        </w:rPr>
      </w:pPr>
      <w:r>
        <w:rPr>
          <w:rFonts w:ascii="Arial" w:hAnsi="Arial" w:cs="Arial" w:eastAsia="Arial"/>
          <w:b/>
          <w:sz w:val="24"/>
          <w:lang w:eastAsia="it-IT"/>
        </w:rPr>
        <w:t xml:space="preserve">APPROVAZIONE DELL'AGGIORNAMENTO DEL PIANO DELLE ALIENAZIONI E VALORIZZAZIONI IMMOBILIARI 2026-2028, AI SENSI DELL'ART. 58 DEL D.L. 112/2008, E CONTESTUALE MODIFICA DEL DOCUMENTO UNICO DI PROGRAMMAZIONE (DUP 2026-2028)</w:t>
      </w:r>
      <w:r>
        <w:rPr>
          <w:rFonts w:ascii="Arial" w:hAnsi="Arial" w:cs="Arial" w:eastAsia="Arial"/>
          <w:sz w:val="24"/>
        </w:rPr>
      </w:r>
      <w:r/>
    </w:p>
    <w:p>
      <w:pPr>
        <w:jc w:val="both"/>
        <w:tabs>
          <w:tab w:val="left" w:pos="708" w:leader="none"/>
          <w:tab w:val="center" w:pos="4819" w:leader="none"/>
          <w:tab w:val="right" w:pos="9638" w:leader="none"/>
        </w:tabs>
        <w:rPr>
          <w:rFonts w:ascii="Arial" w:hAnsi="Arial" w:cs="Arial" w:eastAsia="Arial"/>
        </w:rPr>
        <w:pBdr>
          <w:bottom w:val="single" w:color="000000" w:sz="6" w:space="0"/>
        </w:pBdr>
      </w:pPr>
      <w:r>
        <w:rPr>
          <w:rFonts w:ascii="Arial" w:hAnsi="Arial" w:cs="Arial" w:eastAsia="Arial"/>
          <w:sz w:val="24"/>
          <w:lang w:eastAsia="it-IT"/>
        </w:rPr>
      </w:r>
      <w:r>
        <w:rPr>
          <w:rFonts w:ascii="Arial" w:hAnsi="Arial" w:cs="Arial" w:eastAsia="Arial"/>
          <w:sz w:val="24"/>
        </w:rPr>
      </w:r>
      <w:r/>
    </w:p>
    <w:p>
      <w:pPr>
        <w:tabs>
          <w:tab w:val="left" w:pos="708" w:leader="none"/>
          <w:tab w:val="center" w:pos="4819" w:leader="none"/>
          <w:tab w:val="right" w:pos="9638" w:leader="none"/>
        </w:tabs>
        <w:rPr>
          <w:rFonts w:ascii="Arial" w:hAnsi="Arial" w:cs="Arial" w:eastAsia="Arial"/>
        </w:rPr>
      </w:pPr>
      <w:r>
        <w:rPr>
          <w:rFonts w:ascii="Arial" w:hAnsi="Arial" w:cs="Arial" w:eastAsia="Arial"/>
          <w:sz w:val="24"/>
          <w:lang w:eastAsia="it-IT"/>
        </w:rPr>
      </w:r>
      <w:r>
        <w:rPr>
          <w:rFonts w:ascii="Arial" w:hAnsi="Arial" w:cs="Arial" w:eastAsia="Arial"/>
          <w:sz w:val="24"/>
        </w:rPr>
      </w:r>
      <w:r/>
    </w:p>
    <w:p>
      <w:pPr>
        <w:pStyle w:val="767"/>
      </w:pPr>
      <w:r/>
      <w:r/>
    </w:p>
    <w:p>
      <w:pPr>
        <w:jc w:val="center"/>
        <w:rPr>
          <w:rFonts w:ascii="Arial" w:hAnsi="Arial" w:cs="Arial" w:eastAsia="Arial"/>
          <w:b/>
          <w:sz w:val="24"/>
          <w:highlight w:val="none"/>
        </w:rPr>
      </w:pPr>
      <w:r>
        <w:rPr>
          <w:rFonts w:ascii="Arial" w:hAnsi="Arial" w:cs="Arial" w:eastAsia="Arial"/>
          <w:b/>
          <w:sz w:val="24"/>
          <w:highlight w:val="none"/>
        </w:rPr>
      </w:r>
      <w:r>
        <w:rPr>
          <w:rFonts w:ascii="Arial" w:hAnsi="Arial" w:cs="Arial" w:eastAsia="Arial"/>
          <w:b/>
          <w:sz w:val="24"/>
          <w:highlight w:val="none"/>
        </w:rPr>
      </w:r>
      <w:r/>
    </w:p>
    <w:p>
      <w:pPr>
        <w:pStyle w:val="753"/>
        <w:jc w:val="center"/>
        <w:rPr>
          <w:rFonts w:ascii="Arial" w:hAnsi="Arial" w:cs="Arial" w:eastAsia="Arial"/>
          <w:b/>
          <w:bCs/>
          <w:sz w:val="24"/>
          <w:szCs w:val="24"/>
          <w:highlight w:val="none"/>
        </w:rPr>
      </w:pPr>
      <w:r>
        <w:rPr>
          <w:rFonts w:ascii="Arial" w:hAnsi="Arial" w:cs="Arial" w:eastAsia="Arial"/>
          <w:b/>
          <w:sz w:val="24"/>
        </w:rPr>
        <w:t xml:space="preserve">IL CONSIGLIO COMUNALE</w:t>
      </w:r>
      <w:r>
        <w:rPr>
          <w:rFonts w:ascii="Arial" w:hAnsi="Arial" w:cs="Arial" w:eastAsia="Arial"/>
          <w:b/>
          <w:bCs/>
          <w:sz w:val="24"/>
          <w:szCs w:val="24"/>
          <w:highlight w:val="none"/>
        </w:rPr>
      </w:r>
      <w:r/>
    </w:p>
    <w:p>
      <w:pPr>
        <w:jc w:val="left"/>
        <w:rPr>
          <w:rFonts w:ascii="Arial" w:hAnsi="Arial" w:cs="Arial" w:eastAsia="Arial"/>
          <w:b/>
          <w:bCs/>
          <w:sz w:val="24"/>
          <w:szCs w:val="24"/>
          <w:highlight w:val="none"/>
        </w:rPr>
      </w:pPr>
      <w:r>
        <w:rPr>
          <w:rFonts w:ascii="Arial" w:hAnsi="Arial" w:cs="Arial" w:eastAsia="Arial"/>
          <w:b/>
          <w:bCs/>
          <w:sz w:val="24"/>
          <w:szCs w:val="24"/>
          <w:highlight w:val="none"/>
        </w:rPr>
      </w:r>
      <w:r>
        <w:rPr>
          <w:rFonts w:ascii="Arial" w:hAnsi="Arial" w:cs="Arial" w:eastAsia="Arial"/>
          <w:b/>
          <w:bCs/>
          <w:sz w:val="24"/>
          <w:szCs w:val="24"/>
          <w:highlight w:val="none"/>
        </w:rPr>
      </w:r>
      <w:r/>
    </w:p>
    <w:p>
      <w:pPr>
        <w:ind w:left="0" w:right="0" w:firstLine="0"/>
        <w:jc w:val="both"/>
        <w:spacing w:before="0" w:after="0"/>
        <w:rPr>
          <w:rFonts w:ascii="Times New Roman" w:hAnsi="Times New Roman" w:cs="Times New Roman" w:eastAsia="Times New Roman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b/>
          <w:color w:val="000000"/>
          <w:sz w:val="24"/>
        </w:rPr>
        <w:t xml:space="preserve">PREMESSE:</w:t>
      </w:r>
      <w:r>
        <w:rPr>
          <w:rFonts w:ascii="Times New Roman" w:hAnsi="Times New Roman" w:cs="Times New Roman" w:eastAsia="Times New Roman"/>
          <w:sz w:val="24"/>
        </w:rPr>
      </w:r>
      <w:r/>
    </w:p>
    <w:p>
      <w:pPr>
        <w:ind w:left="0" w:right="0" w:firstLine="0"/>
        <w:jc w:val="both"/>
        <w:spacing w:before="0" w:after="0"/>
        <w:rPr>
          <w:rFonts w:ascii="Times New Roman" w:hAnsi="Times New Roman" w:cs="Times New Roman" w:eastAsia="Times New Roman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 </w:t>
      </w:r>
      <w:r>
        <w:rPr>
          <w:rFonts w:ascii="Times New Roman" w:hAnsi="Times New Roman" w:cs="Times New Roman" w:eastAsia="Times New Roman"/>
          <w:sz w:val="24"/>
        </w:rPr>
      </w:r>
      <w:r/>
    </w:p>
    <w:p>
      <w:pPr>
        <w:ind w:left="0" w:right="0" w:firstLine="0"/>
        <w:jc w:val="both"/>
        <w:spacing w:before="0" w:after="0"/>
        <w:rPr>
          <w:rFonts w:ascii="Times New Roman" w:hAnsi="Times New Roman" w:cs="Times New Roman" w:eastAsia="Times New Roman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VISTO l'art. 58 del D.L. n. 112 del 25 giugno 2008, convertito con Legge n. 133 del 6 agosto 2008 e ss.mm.ii. rubricato "</w:t>
      </w:r>
      <w:r>
        <w:rPr>
          <w:rFonts w:ascii="Times New Roman" w:hAnsi="Times New Roman" w:cs="Times New Roman" w:eastAsia="Times New Roman"/>
          <w:i/>
          <w:color w:val="000000"/>
          <w:sz w:val="24"/>
        </w:rPr>
        <w:t xml:space="preserve">Ricognizione e valorizzazione del patrimonio immobiliare di regioni, comuni e altri enti locali</w:t>
      </w:r>
      <w:r>
        <w:rPr>
          <w:rFonts w:ascii="Times New Roman" w:hAnsi="Times New Roman" w:cs="Times New Roman" w:eastAsia="Times New Roman"/>
          <w:color w:val="000000"/>
          <w:sz w:val="24"/>
        </w:rPr>
        <w:t xml:space="preserve">", del quale se ne riportano per estratto alcuni commi e precisamente: </w:t>
      </w:r>
      <w:r>
        <w:rPr>
          <w:rFonts w:ascii="Times New Roman" w:hAnsi="Times New Roman" w:cs="Times New Roman" w:eastAsia="Times New Roman"/>
          <w:sz w:val="24"/>
        </w:rPr>
      </w:r>
      <w:r/>
    </w:p>
    <w:p>
      <w:pPr>
        <w:pStyle w:val="737"/>
        <w:numPr>
          <w:ilvl w:val="0"/>
          <w:numId w:val="4"/>
        </w:numPr>
        <w:ind w:left="720" w:right="0" w:hanging="295"/>
        <w:jc w:val="both"/>
        <w:spacing w:before="0" w:after="0"/>
        <w:tabs>
          <w:tab w:val="left" w:pos="426" w:leader="none"/>
        </w:tabs>
        <w:rPr>
          <w:rFonts w:ascii="Times New Roman" w:hAnsi="Times New Roman" w:cs="Times New Roman" w:eastAsia="Times New Roman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  <w:u w:val="single"/>
        </w:rPr>
        <w:t xml:space="preserve">comma 1</w:t>
      </w:r>
      <w:r>
        <w:rPr>
          <w:rFonts w:ascii="Times New Roman" w:hAnsi="Times New Roman" w:cs="Times New Roman" w:eastAsia="Times New Roman"/>
          <w:color w:val="000000"/>
          <w:sz w:val="24"/>
        </w:rPr>
        <w:t xml:space="preserve">: «</w:t>
      </w:r>
      <w:r>
        <w:rPr>
          <w:rFonts w:ascii="Times New Roman" w:hAnsi="Times New Roman" w:cs="Times New Roman" w:eastAsia="Times New Roman"/>
          <w:i/>
          <w:color w:val="000000"/>
          <w:sz w:val="24"/>
        </w:rPr>
        <w:t xml:space="preserve">Per procedere al riordino, gestione e valorizzazione del patrimonio immobiliare di Regioni, Province, Comuni e altri Enti locali, nonché di società o Enti a totale partecipazione dei predetti enti, ciascuno di essi, con delibera dell'organo di Governo indi</w:t>
      </w:r>
      <w:r>
        <w:rPr>
          <w:rFonts w:ascii="Times New Roman" w:hAnsi="Times New Roman" w:cs="Times New Roman" w:eastAsia="Times New Roman"/>
          <w:i/>
          <w:color w:val="000000"/>
          <w:sz w:val="24"/>
        </w:rPr>
        <w:t xml:space="preserve">vidua, redigendo apposito elenco, sulla base e nei limiti della documentazione esistente presso i propri archivi e uffici, i singoli beni immobili ricadenti nel territorio di competenza, non strumentali all'esercizio delle proprie funzioni istituzionali, s</w:t>
      </w:r>
      <w:r>
        <w:rPr>
          <w:rFonts w:ascii="Times New Roman" w:hAnsi="Times New Roman" w:cs="Times New Roman" w:eastAsia="Times New Roman"/>
          <w:i/>
          <w:color w:val="000000"/>
          <w:sz w:val="24"/>
        </w:rPr>
        <w:t xml:space="preserve">uscettibili di valorizzazione ovvero di dismissione. Viene così redatto il piano delle alienazioni e valorizzazioni immobiliari allegato al bilancio di previsione …… omissis …….</w:t>
      </w:r>
      <w:r>
        <w:rPr>
          <w:rFonts w:ascii="Times New Roman" w:hAnsi="Times New Roman" w:cs="Times New Roman" w:eastAsia="Times New Roman"/>
          <w:color w:val="000000"/>
          <w:sz w:val="24"/>
        </w:rPr>
        <w:t xml:space="preserve">»;</w:t>
      </w:r>
      <w:r>
        <w:rPr>
          <w:rFonts w:ascii="Times New Roman" w:hAnsi="Times New Roman" w:cs="Times New Roman" w:eastAsia="Times New Roman"/>
          <w:sz w:val="24"/>
        </w:rPr>
      </w:r>
      <w:r/>
    </w:p>
    <w:p>
      <w:pPr>
        <w:pStyle w:val="737"/>
        <w:numPr>
          <w:ilvl w:val="0"/>
          <w:numId w:val="4"/>
        </w:numPr>
        <w:ind w:left="720" w:right="0" w:hanging="295"/>
        <w:jc w:val="both"/>
        <w:spacing w:before="0" w:after="0"/>
        <w:tabs>
          <w:tab w:val="left" w:pos="426" w:leader="none"/>
        </w:tabs>
        <w:rPr>
          <w:rFonts w:ascii="Times New Roman" w:hAnsi="Times New Roman" w:cs="Times New Roman" w:eastAsia="Times New Roman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  <w:u w:val="single"/>
        </w:rPr>
        <w:t xml:space="preserve">comma 2</w:t>
      </w:r>
      <w:r>
        <w:rPr>
          <w:rFonts w:ascii="Times New Roman" w:hAnsi="Times New Roman" w:cs="Times New Roman" w:eastAsia="Times New Roman"/>
          <w:color w:val="000000"/>
          <w:sz w:val="24"/>
        </w:rPr>
        <w:t xml:space="preserve">: «</w:t>
      </w:r>
      <w:r>
        <w:rPr>
          <w:rFonts w:ascii="Times New Roman" w:hAnsi="Times New Roman" w:cs="Times New Roman" w:eastAsia="Times New Roman"/>
          <w:i/>
          <w:color w:val="000000"/>
          <w:sz w:val="24"/>
        </w:rPr>
        <w:t xml:space="preserve">L'inserimento degli immobili nel piano ne determina la conseguente classificazione come patrimonio disponibile, ……. omissis …………..</w:t>
      </w:r>
      <w:r>
        <w:rPr>
          <w:rFonts w:ascii="Times New Roman" w:hAnsi="Times New Roman" w:cs="Times New Roman" w:eastAsia="Times New Roman"/>
          <w:color w:val="000000"/>
          <w:sz w:val="24"/>
        </w:rPr>
        <w:t xml:space="preserve">»;</w:t>
      </w:r>
      <w:r>
        <w:rPr>
          <w:rFonts w:ascii="Times New Roman" w:hAnsi="Times New Roman" w:cs="Times New Roman" w:eastAsia="Times New Roman"/>
          <w:sz w:val="24"/>
        </w:rPr>
      </w:r>
      <w:r/>
    </w:p>
    <w:p>
      <w:pPr>
        <w:pStyle w:val="737"/>
        <w:numPr>
          <w:ilvl w:val="0"/>
          <w:numId w:val="4"/>
        </w:numPr>
        <w:ind w:left="720" w:right="0" w:hanging="295"/>
        <w:jc w:val="both"/>
        <w:spacing w:before="0" w:after="0"/>
        <w:tabs>
          <w:tab w:val="left" w:pos="426" w:leader="none"/>
        </w:tabs>
        <w:rPr>
          <w:rFonts w:ascii="Times New Roman" w:hAnsi="Times New Roman" w:cs="Times New Roman" w:eastAsia="Times New Roman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  <w:u w:val="single"/>
        </w:rPr>
        <w:t xml:space="preserve">comma 3</w:t>
      </w:r>
      <w:r>
        <w:rPr>
          <w:rFonts w:ascii="Times New Roman" w:hAnsi="Times New Roman" w:cs="Times New Roman" w:eastAsia="Times New Roman"/>
          <w:color w:val="000000"/>
          <w:sz w:val="24"/>
        </w:rPr>
        <w:t xml:space="preserve">: «</w:t>
      </w:r>
      <w:r>
        <w:rPr>
          <w:rFonts w:ascii="Times New Roman" w:hAnsi="Times New Roman" w:cs="Times New Roman" w:eastAsia="Times New Roman"/>
          <w:i/>
          <w:color w:val="000000"/>
          <w:sz w:val="24"/>
        </w:rPr>
        <w:t xml:space="preserve">Gli elenchi di cui al comma 1, da pubblicare mediante le forme previste per ciascuno di tali enti, hanno effetto dichiarativo della proprietà, in assenza di precedenti trascrizioni, e producono gli effetti previsti dall'articolo 2644 del codice civile, non</w:t>
      </w:r>
      <w:r>
        <w:rPr>
          <w:rFonts w:ascii="Times New Roman" w:hAnsi="Times New Roman" w:cs="Times New Roman" w:eastAsia="Times New Roman"/>
          <w:i/>
          <w:color w:val="000000"/>
          <w:sz w:val="24"/>
        </w:rPr>
        <w:t xml:space="preserve">ché effetti sostitutivi dell'iscrizione del bene in catasto.</w:t>
      </w:r>
      <w:r>
        <w:rPr>
          <w:rFonts w:ascii="Times New Roman" w:hAnsi="Times New Roman" w:cs="Times New Roman" w:eastAsia="Times New Roman"/>
          <w:color w:val="000000"/>
          <w:sz w:val="24"/>
        </w:rPr>
        <w:t xml:space="preserve">»; </w:t>
      </w:r>
      <w:r>
        <w:rPr>
          <w:rFonts w:ascii="Times New Roman" w:hAnsi="Times New Roman" w:cs="Times New Roman" w:eastAsia="Times New Roman"/>
          <w:sz w:val="24"/>
        </w:rPr>
      </w:r>
      <w:r/>
    </w:p>
    <w:p>
      <w:pPr>
        <w:pStyle w:val="737"/>
        <w:numPr>
          <w:ilvl w:val="0"/>
          <w:numId w:val="4"/>
        </w:numPr>
        <w:ind w:left="720" w:right="0" w:hanging="295"/>
        <w:jc w:val="both"/>
        <w:spacing w:before="0" w:after="0"/>
        <w:tabs>
          <w:tab w:val="left" w:pos="426" w:leader="none"/>
        </w:tabs>
        <w:rPr>
          <w:rFonts w:ascii="Times New Roman" w:hAnsi="Times New Roman" w:cs="Times New Roman" w:eastAsia="Times New Roman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  <w:u w:val="single"/>
        </w:rPr>
        <w:t xml:space="preserve">comma 4</w:t>
      </w:r>
      <w:r>
        <w:rPr>
          <w:rFonts w:ascii="Times New Roman" w:hAnsi="Times New Roman" w:cs="Times New Roman" w:eastAsia="Times New Roman"/>
          <w:color w:val="000000"/>
          <w:sz w:val="24"/>
        </w:rPr>
        <w:t xml:space="preserve">: «</w:t>
      </w:r>
      <w:r>
        <w:rPr>
          <w:rFonts w:ascii="Times New Roman" w:hAnsi="Times New Roman" w:cs="Times New Roman" w:eastAsia="Times New Roman"/>
          <w:i/>
          <w:color w:val="000000"/>
          <w:sz w:val="24"/>
        </w:rPr>
        <w:t xml:space="preserve">Gli uffici competenti provvedono, se necessario, alle conseguenti attività di trascrizione, intavolazione e voltura.</w:t>
      </w:r>
      <w:r>
        <w:rPr>
          <w:rFonts w:ascii="Times New Roman" w:hAnsi="Times New Roman" w:cs="Times New Roman" w:eastAsia="Times New Roman"/>
          <w:color w:val="000000"/>
          <w:sz w:val="24"/>
        </w:rPr>
        <w:t xml:space="preserve">»;</w:t>
      </w:r>
      <w:r>
        <w:rPr>
          <w:rFonts w:ascii="Times New Roman" w:hAnsi="Times New Roman" w:cs="Times New Roman" w:eastAsia="Times New Roman"/>
          <w:sz w:val="24"/>
        </w:rPr>
      </w:r>
      <w:r/>
    </w:p>
    <w:p>
      <w:pPr>
        <w:pStyle w:val="737"/>
        <w:numPr>
          <w:ilvl w:val="0"/>
          <w:numId w:val="4"/>
        </w:numPr>
        <w:ind w:left="720" w:right="0" w:hanging="295"/>
        <w:jc w:val="both"/>
        <w:spacing w:before="0" w:after="0"/>
        <w:tabs>
          <w:tab w:val="left" w:pos="426" w:leader="none"/>
        </w:tabs>
        <w:rPr>
          <w:rFonts w:ascii="Times New Roman" w:hAnsi="Times New Roman" w:cs="Times New Roman" w:eastAsia="Times New Roman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  <w:u w:val="single"/>
        </w:rPr>
        <w:t xml:space="preserve">comma 5</w:t>
      </w:r>
      <w:r>
        <w:rPr>
          <w:rFonts w:ascii="Times New Roman" w:hAnsi="Times New Roman" w:cs="Times New Roman" w:eastAsia="Times New Roman"/>
          <w:color w:val="000000"/>
          <w:sz w:val="24"/>
        </w:rPr>
        <w:t xml:space="preserve">: «</w:t>
      </w:r>
      <w:r>
        <w:rPr>
          <w:rFonts w:ascii="Times New Roman" w:hAnsi="Times New Roman" w:cs="Times New Roman" w:eastAsia="Times New Roman"/>
          <w:i/>
          <w:color w:val="000000"/>
          <w:sz w:val="24"/>
        </w:rPr>
        <w:t xml:space="preserve">Contro l'iscrizione del bene negli elenchi di cui al comma 1, è' ammesso ricorso amministrativo entro sessanta giorni dalla pubblicazione, fermi gli altri rimedi di legge.</w:t>
      </w:r>
      <w:r>
        <w:rPr>
          <w:rFonts w:ascii="Times New Roman" w:hAnsi="Times New Roman" w:cs="Times New Roman" w:eastAsia="Times New Roman"/>
          <w:color w:val="000000"/>
          <w:sz w:val="24"/>
        </w:rPr>
        <w:t xml:space="preserve">»;</w:t>
      </w:r>
      <w:r>
        <w:rPr>
          <w:rFonts w:ascii="Times New Roman" w:hAnsi="Times New Roman" w:cs="Times New Roman" w:eastAsia="Times New Roman"/>
          <w:sz w:val="24"/>
        </w:rPr>
      </w:r>
      <w:r/>
    </w:p>
    <w:p>
      <w:pPr>
        <w:pStyle w:val="737"/>
        <w:numPr>
          <w:ilvl w:val="0"/>
          <w:numId w:val="4"/>
        </w:numPr>
        <w:ind w:left="720" w:right="0" w:hanging="295"/>
        <w:jc w:val="both"/>
        <w:spacing w:before="0" w:after="0"/>
        <w:tabs>
          <w:tab w:val="left" w:pos="426" w:leader="none"/>
        </w:tabs>
        <w:rPr>
          <w:rFonts w:ascii="Times New Roman" w:hAnsi="Times New Roman" w:cs="Times New Roman" w:eastAsia="Times New Roman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  <w:u w:val="single"/>
        </w:rPr>
        <w:t xml:space="preserve">comma 6</w:t>
      </w:r>
      <w:r>
        <w:rPr>
          <w:rFonts w:ascii="Times New Roman" w:hAnsi="Times New Roman" w:cs="Times New Roman" w:eastAsia="Times New Roman"/>
          <w:color w:val="000000"/>
          <w:sz w:val="24"/>
        </w:rPr>
        <w:t xml:space="preserve">: </w:t>
      </w:r>
      <w:r>
        <w:rPr>
          <w:rFonts w:ascii="Times New Roman" w:hAnsi="Times New Roman" w:cs="Times New Roman" w:eastAsia="Times New Roman"/>
          <w:i/>
          <w:color w:val="000000"/>
          <w:sz w:val="24"/>
        </w:rPr>
        <w:t xml:space="preserve">omissis.</w:t>
      </w:r>
      <w:r>
        <w:rPr>
          <w:rFonts w:ascii="Times New Roman" w:hAnsi="Times New Roman" w:cs="Times New Roman" w:eastAsia="Times New Roman"/>
          <w:color w:val="000000"/>
          <w:sz w:val="24"/>
        </w:rPr>
        <w:t xml:space="preserve">.</w:t>
      </w:r>
      <w:r>
        <w:rPr>
          <w:rFonts w:ascii="Times New Roman" w:hAnsi="Times New Roman" w:cs="Times New Roman" w:eastAsia="Times New Roman"/>
          <w:sz w:val="24"/>
        </w:rPr>
      </w:r>
      <w:r/>
    </w:p>
    <w:p>
      <w:pPr>
        <w:pStyle w:val="737"/>
        <w:numPr>
          <w:ilvl w:val="0"/>
          <w:numId w:val="4"/>
        </w:numPr>
        <w:ind w:left="720" w:right="0" w:hanging="295"/>
        <w:jc w:val="both"/>
        <w:spacing w:before="0" w:after="0"/>
        <w:tabs>
          <w:tab w:val="left" w:pos="426" w:leader="none"/>
        </w:tabs>
        <w:rPr>
          <w:rFonts w:ascii="Times New Roman" w:hAnsi="Times New Roman" w:cs="Times New Roman" w:eastAsia="Times New Roman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  <w:u w:val="single"/>
        </w:rPr>
        <w:t xml:space="preserve">comma 7</w:t>
      </w:r>
      <w:r>
        <w:rPr>
          <w:rFonts w:ascii="Times New Roman" w:hAnsi="Times New Roman" w:cs="Times New Roman" w:eastAsia="Times New Roman"/>
          <w:color w:val="000000"/>
          <w:sz w:val="24"/>
        </w:rPr>
        <w:t xml:space="preserve">: «</w:t>
      </w:r>
      <w:r>
        <w:rPr>
          <w:rFonts w:ascii="Times New Roman" w:hAnsi="Times New Roman" w:cs="Times New Roman" w:eastAsia="Times New Roman"/>
          <w:i/>
          <w:color w:val="000000"/>
          <w:sz w:val="24"/>
        </w:rPr>
        <w:t xml:space="preserve">I soggetti di cui al comma 1 possono in ogni caso individuare forme di valorizzazione alternative, nel rispetto dei principi di salvaguardia dell'interesse pubblico e mediante l'utilizzo di strumenti competitivi …omissis;</w:t>
      </w:r>
      <w:r>
        <w:rPr>
          <w:rFonts w:ascii="Times New Roman" w:hAnsi="Times New Roman" w:cs="Times New Roman" w:eastAsia="Times New Roman"/>
          <w:sz w:val="24"/>
        </w:rPr>
      </w:r>
      <w:r/>
    </w:p>
    <w:p>
      <w:pPr>
        <w:ind w:left="0" w:right="0" w:firstLine="0"/>
        <w:jc w:val="both"/>
        <w:spacing w:before="0" w:after="0"/>
        <w:tabs>
          <w:tab w:val="left" w:pos="426" w:leader="none"/>
        </w:tabs>
        <w:rPr>
          <w:rFonts w:ascii="Times New Roman" w:hAnsi="Times New Roman" w:cs="Times New Roman" w:eastAsia="Times New Roman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 </w:t>
      </w:r>
      <w:r>
        <w:rPr>
          <w:rFonts w:ascii="Times New Roman" w:hAnsi="Times New Roman" w:cs="Times New Roman" w:eastAsia="Times New Roman"/>
          <w:sz w:val="24"/>
        </w:rPr>
      </w:r>
      <w:r/>
    </w:p>
    <w:p>
      <w:pPr>
        <w:ind w:left="0" w:right="0" w:firstLine="0"/>
        <w:jc w:val="both"/>
        <w:spacing w:before="0" w:after="0"/>
        <w:rPr>
          <w:rFonts w:ascii="Times New Roman" w:hAnsi="Times New Roman" w:cs="Times New Roman" w:eastAsia="Times New Roman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DATO ATTO CHE con deliberazioni del C.C. nn. 118/2008, 44/2009, 26/2010, 42/2010, 81/2010, 100/2010, 9/2011, 51/2011, 62/2011, 86/2011, 44/2012, 64/2012, 78/2012, 36/2013, 49/2014, 35/2015, 23/2016, 39/2017, 24/2018, 25/2019, 16/2020, 13/2021, 25/2022  e n</w:t>
      </w:r>
      <w:r>
        <w:rPr>
          <w:rFonts w:ascii="Times New Roman" w:hAnsi="Times New Roman" w:cs="Times New Roman" w:eastAsia="Times New Roman"/>
          <w:color w:val="000000"/>
          <w:sz w:val="24"/>
        </w:rPr>
        <w:t xml:space="preserve">. 14/2023 e ss.mm. e ii. , sono stati approvati i Piani delle Alienazioni per gli anni 2008 ÷ 2023, costituenti allegati ai rispettivi Bilanci di Previsione degli anni di riferimento;</w:t>
      </w:r>
      <w:r>
        <w:rPr>
          <w:rFonts w:ascii="Times New Roman" w:hAnsi="Times New Roman" w:cs="Times New Roman" w:eastAsia="Times New Roman"/>
          <w:sz w:val="24"/>
        </w:rPr>
      </w:r>
      <w:r/>
    </w:p>
    <w:p>
      <w:pPr>
        <w:ind w:left="0" w:right="0" w:firstLine="0"/>
        <w:jc w:val="both"/>
        <w:spacing w:before="0" w:after="0"/>
        <w:rPr>
          <w:rFonts w:ascii="Times New Roman" w:hAnsi="Times New Roman" w:cs="Times New Roman" w:eastAsia="Times New Roman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 </w:t>
      </w:r>
      <w:r>
        <w:rPr>
          <w:rFonts w:ascii="Times New Roman" w:hAnsi="Times New Roman" w:cs="Times New Roman" w:eastAsia="Times New Roman"/>
          <w:sz w:val="24"/>
        </w:rPr>
      </w:r>
      <w:r/>
    </w:p>
    <w:p>
      <w:pPr>
        <w:ind w:left="0" w:right="0" w:firstLine="0"/>
        <w:jc w:val="both"/>
        <w:spacing w:before="0" w:after="0"/>
        <w:rPr>
          <w:rFonts w:ascii="Times New Roman" w:hAnsi="Times New Roman" w:cs="Times New Roman" w:eastAsia="Times New Roman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RICHIAMATA  la deliberazione n. 35 del 29.09.2023 avente ad oggetto: Documento Unico di Programmazione (D.U.P.) 2024-2026 di cui all’art. 170 comma 1 d.Lgs.267/2000 e successiva deliberazione di Consiglio Comunale n. 50 del 27.12.2023 relativa alla “Approv</w:t>
      </w:r>
      <w:r>
        <w:rPr>
          <w:rFonts w:ascii="Times New Roman" w:hAnsi="Times New Roman" w:cs="Times New Roman" w:eastAsia="Times New Roman"/>
          <w:color w:val="000000"/>
          <w:sz w:val="24"/>
        </w:rPr>
        <w:t xml:space="preserve">azione della Nota di Aggiornamento al D.U.P. 2024/2026; </w:t>
      </w:r>
      <w:r>
        <w:rPr>
          <w:rFonts w:ascii="Times New Roman" w:hAnsi="Times New Roman" w:cs="Times New Roman" w:eastAsia="Times New Roman"/>
          <w:sz w:val="24"/>
        </w:rPr>
      </w:r>
      <w:r/>
    </w:p>
    <w:p>
      <w:pPr>
        <w:ind w:left="0" w:right="0" w:firstLine="0"/>
        <w:jc w:val="both"/>
        <w:spacing w:before="0" w:after="0"/>
        <w:rPr>
          <w:rFonts w:ascii="Times New Roman" w:hAnsi="Times New Roman" w:cs="Times New Roman" w:eastAsia="Times New Roman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 </w:t>
      </w:r>
      <w:r>
        <w:rPr>
          <w:rFonts w:ascii="Times New Roman" w:hAnsi="Times New Roman" w:cs="Times New Roman" w:eastAsia="Times New Roman"/>
          <w:sz w:val="24"/>
        </w:rPr>
      </w:r>
      <w:r/>
    </w:p>
    <w:p>
      <w:pPr>
        <w:ind w:left="0" w:right="0" w:firstLine="0"/>
        <w:jc w:val="both"/>
        <w:spacing w:before="0" w:after="0"/>
        <w:rPr>
          <w:rFonts w:ascii="Times New Roman" w:hAnsi="Times New Roman" w:cs="Times New Roman" w:eastAsia="Times New Roman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RICHIAMATA  la deliberazione n. 54 del 27.12.2023 “Approvazione Piano delle Alienazioni e Valorizzazioni Immobiliari per il triennio 2024/2026; </w:t>
      </w:r>
      <w:r>
        <w:rPr>
          <w:rFonts w:ascii="Times New Roman" w:hAnsi="Times New Roman" w:cs="Times New Roman" w:eastAsia="Times New Roman"/>
          <w:sz w:val="24"/>
        </w:rPr>
      </w:r>
      <w:r/>
    </w:p>
    <w:p>
      <w:pPr>
        <w:ind w:left="0" w:right="0" w:firstLine="0"/>
        <w:jc w:val="both"/>
        <w:spacing w:before="0" w:after="0"/>
        <w:rPr>
          <w:rFonts w:ascii="Times New Roman" w:hAnsi="Times New Roman" w:cs="Times New Roman" w:eastAsia="Times New Roman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 </w:t>
      </w:r>
      <w:r>
        <w:rPr>
          <w:rFonts w:ascii="Times New Roman" w:hAnsi="Times New Roman" w:cs="Times New Roman" w:eastAsia="Times New Roman"/>
          <w:sz w:val="24"/>
        </w:rPr>
      </w:r>
      <w:r/>
    </w:p>
    <w:p>
      <w:pPr>
        <w:ind w:left="0" w:right="0" w:firstLine="0"/>
        <w:jc w:val="both"/>
        <w:spacing w:before="0" w:after="0"/>
        <w:rPr>
          <w:rFonts w:ascii="Times New Roman" w:hAnsi="Times New Roman" w:cs="Times New Roman" w:eastAsia="Times New Roman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RICHIAMATA la deliberazione n. 05 del 28.02.2024 avente ad oggetto: “Approvazione aggiornamento del Piano delle Alienazioni e Valorizzazioni Immobiliari per il triennio 2024/2026”;</w:t>
      </w:r>
      <w:r>
        <w:rPr>
          <w:rFonts w:ascii="Times New Roman" w:hAnsi="Times New Roman" w:cs="Times New Roman" w:eastAsia="Times New Roman"/>
          <w:sz w:val="24"/>
        </w:rPr>
      </w:r>
      <w:r/>
    </w:p>
    <w:p>
      <w:pPr>
        <w:ind w:left="0" w:right="0" w:firstLine="0"/>
        <w:jc w:val="both"/>
        <w:spacing w:before="0" w:after="0"/>
        <w:rPr>
          <w:rFonts w:ascii="Times New Roman" w:hAnsi="Times New Roman" w:cs="Times New Roman" w:eastAsia="Times New Roman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 </w:t>
      </w:r>
      <w:r>
        <w:rPr>
          <w:rFonts w:ascii="Times New Roman" w:hAnsi="Times New Roman" w:cs="Times New Roman" w:eastAsia="Times New Roman"/>
          <w:sz w:val="24"/>
        </w:rPr>
      </w:r>
      <w:r/>
    </w:p>
    <w:p>
      <w:pPr>
        <w:ind w:left="0" w:right="0" w:firstLine="0"/>
        <w:jc w:val="both"/>
        <w:spacing w:before="0" w:after="0"/>
        <w:rPr>
          <w:rFonts w:ascii="Times New Roman" w:hAnsi="Times New Roman" w:cs="Times New Roman" w:eastAsia="Times New Roman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RICHIAMATO l’Atto n. 66 del 17.04.2024 con il quale la Giunta Comunale ha approvato un nuovo aggiornamento del Piano delle Alienazioni e Valorizzazioni Immobiliari per il triennio 2024/2026; </w:t>
      </w:r>
      <w:r>
        <w:rPr>
          <w:rFonts w:ascii="Times New Roman" w:hAnsi="Times New Roman" w:cs="Times New Roman" w:eastAsia="Times New Roman"/>
          <w:sz w:val="24"/>
        </w:rPr>
      </w:r>
      <w:r/>
    </w:p>
    <w:p>
      <w:pPr>
        <w:ind w:left="0" w:right="0" w:firstLine="0"/>
        <w:jc w:val="both"/>
        <w:spacing w:before="0" w:after="0"/>
        <w:rPr>
          <w:rFonts w:ascii="Times New Roman" w:hAnsi="Times New Roman" w:cs="Times New Roman" w:eastAsia="Times New Roman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 </w:t>
      </w:r>
      <w:r>
        <w:rPr>
          <w:rFonts w:ascii="Times New Roman" w:hAnsi="Times New Roman" w:cs="Times New Roman" w:eastAsia="Times New Roman"/>
          <w:sz w:val="24"/>
        </w:rPr>
      </w:r>
      <w:r/>
    </w:p>
    <w:p>
      <w:pPr>
        <w:ind w:left="0" w:right="0" w:firstLine="0"/>
        <w:jc w:val="both"/>
        <w:spacing w:before="0" w:after="0"/>
        <w:rPr>
          <w:rFonts w:ascii="Times New Roman" w:hAnsi="Times New Roman" w:cs="Times New Roman" w:eastAsia="Times New Roman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RICHIAMATA la Delibera del Commissario Straordinario con i poteri del Consiglio Comunale n. 1 del 27/01/2025, avente ad oggetto “Documento Unico di Programmazione (DUP) 2025-2027 (art. 170 comma 1 D.Lgs. 267/2000)”, con la quale, tra l’altro, si approvava </w:t>
      </w:r>
      <w:r>
        <w:rPr>
          <w:rFonts w:ascii="Times New Roman" w:hAnsi="Times New Roman" w:cs="Times New Roman" w:eastAsia="Times New Roman"/>
          <w:color w:val="000000"/>
          <w:sz w:val="24"/>
        </w:rPr>
        <w:t xml:space="preserve">il “Piano delle Alienazioni e Valorizzazioni del patrimonio comunale”; </w:t>
      </w:r>
      <w:r>
        <w:rPr>
          <w:rFonts w:ascii="Times New Roman" w:hAnsi="Times New Roman" w:cs="Times New Roman" w:eastAsia="Times New Roman"/>
          <w:sz w:val="24"/>
        </w:rPr>
      </w:r>
      <w:r/>
    </w:p>
    <w:p>
      <w:pPr>
        <w:ind w:left="0" w:right="0" w:firstLine="0"/>
        <w:jc w:val="both"/>
        <w:spacing w:before="0" w:after="0"/>
        <w:rPr>
          <w:rFonts w:ascii="Times New Roman" w:hAnsi="Times New Roman" w:cs="Times New Roman" w:eastAsia="Times New Roman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 </w:t>
      </w:r>
      <w:r>
        <w:rPr>
          <w:rFonts w:ascii="Times New Roman" w:hAnsi="Times New Roman" w:cs="Times New Roman" w:eastAsia="Times New Roman"/>
          <w:sz w:val="24"/>
        </w:rPr>
      </w:r>
      <w:r/>
    </w:p>
    <w:p>
      <w:pPr>
        <w:ind w:left="0" w:right="0" w:firstLine="0"/>
        <w:jc w:val="both"/>
        <w:spacing w:before="0" w:after="0"/>
        <w:rPr>
          <w:rFonts w:ascii="Times New Roman" w:hAnsi="Times New Roman" w:cs="Times New Roman" w:eastAsia="Times New Roman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RICHIAMATA la Delibera C.C. n. 78 del 29/12/2025 avente ad oggetto “Approvazione della nota di aggiornamento al Documento Unico di Programmazione (DUP 2026-2028)” contenente anche il “Piano Alienazioni e valorizzazioni immobiliari” triennio 2026-2028;</w:t>
      </w:r>
      <w:r>
        <w:rPr>
          <w:rFonts w:ascii="Times New Roman" w:hAnsi="Times New Roman" w:cs="Times New Roman" w:eastAsia="Times New Roman"/>
          <w:sz w:val="24"/>
        </w:rPr>
      </w:r>
      <w:r/>
    </w:p>
    <w:p>
      <w:pPr>
        <w:ind w:left="0" w:right="0" w:firstLine="0"/>
        <w:jc w:val="both"/>
        <w:spacing w:before="0" w:after="0"/>
        <w:rPr>
          <w:rFonts w:ascii="Times New Roman" w:hAnsi="Times New Roman" w:cs="Times New Roman" w:eastAsia="Times New Roman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 </w:t>
      </w:r>
      <w:r>
        <w:rPr>
          <w:rFonts w:ascii="Times New Roman" w:hAnsi="Times New Roman" w:cs="Times New Roman" w:eastAsia="Times New Roman"/>
          <w:sz w:val="24"/>
        </w:rPr>
      </w:r>
      <w:r/>
    </w:p>
    <w:p>
      <w:pPr>
        <w:ind w:left="0" w:right="0" w:firstLine="0"/>
        <w:jc w:val="both"/>
        <w:spacing w:before="0" w:after="0"/>
        <w:rPr>
          <w:rFonts w:ascii="Times New Roman" w:hAnsi="Times New Roman" w:cs="Times New Roman" w:eastAsia="Times New Roman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VISTO l'Allegato 4/1 al D.Lgs. n° 118/2011 "Principio contabile applicato concernente la programmazione di bilancio" il quale prevede che il Piano delle Alienazioni e valorizzazioni immobiliari è parte integrante del Documento Unico di Programmazione (DUP)</w:t>
      </w:r>
      <w:r>
        <w:rPr>
          <w:rFonts w:ascii="Times New Roman" w:hAnsi="Times New Roman" w:cs="Times New Roman" w:eastAsia="Times New Roman"/>
          <w:color w:val="000000"/>
          <w:sz w:val="24"/>
        </w:rPr>
        <w:t xml:space="preserve">; </w:t>
      </w:r>
      <w:r>
        <w:rPr>
          <w:rFonts w:ascii="Times New Roman" w:hAnsi="Times New Roman" w:cs="Times New Roman" w:eastAsia="Times New Roman"/>
          <w:sz w:val="24"/>
        </w:rPr>
      </w:r>
      <w:r/>
    </w:p>
    <w:p>
      <w:pPr>
        <w:ind w:left="0" w:right="0" w:firstLine="0"/>
        <w:jc w:val="both"/>
        <w:spacing w:before="0" w:after="0"/>
        <w:rPr>
          <w:rFonts w:ascii="Times New Roman" w:hAnsi="Times New Roman" w:cs="Times New Roman" w:eastAsia="Times New Roman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 </w:t>
      </w:r>
      <w:r>
        <w:rPr>
          <w:rFonts w:ascii="Times New Roman" w:hAnsi="Times New Roman" w:cs="Times New Roman" w:eastAsia="Times New Roman"/>
          <w:sz w:val="24"/>
        </w:rPr>
      </w:r>
      <w:r/>
    </w:p>
    <w:p>
      <w:pPr>
        <w:ind w:left="0" w:right="0" w:firstLine="0"/>
        <w:jc w:val="both"/>
        <w:spacing w:before="0" w:after="0"/>
        <w:rPr>
          <w:rFonts w:ascii="Times New Roman" w:hAnsi="Times New Roman" w:cs="Times New Roman" w:eastAsia="Times New Roman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RITENUTO necessario procedere alla modifica del Documento Unico di Programmazione (DUP 2026–2028), mediante aggiornamento dell’allegato “Piano delle alienazioni e valorizzazioni del patrimonio immobiliare 2026–2028”, con riferimento all’elenco degli immobi</w:t>
      </w:r>
      <w:r>
        <w:rPr>
          <w:rFonts w:ascii="Times New Roman" w:hAnsi="Times New Roman" w:cs="Times New Roman" w:eastAsia="Times New Roman"/>
          <w:color w:val="000000"/>
          <w:sz w:val="24"/>
        </w:rPr>
        <w:t xml:space="preserve">li non strumentali all’esercizio delle funzioni istituzionali, come individuati nella Tabella “A” allegata, suscettibili di valorizzazione, dismissione o destinazione a strumenti sussidiari per la gestione del patrimonio immobiliare pubblico, e precisament</w:t>
      </w:r>
      <w:r>
        <w:rPr>
          <w:rFonts w:ascii="Times New Roman" w:hAnsi="Times New Roman" w:cs="Times New Roman" w:eastAsia="Times New Roman"/>
          <w:color w:val="000000"/>
          <w:sz w:val="24"/>
        </w:rPr>
        <w:t xml:space="preserve">e:</w:t>
      </w:r>
      <w:r>
        <w:rPr>
          <w:rFonts w:ascii="Times New Roman" w:hAnsi="Times New Roman" w:cs="Times New Roman" w:eastAsia="Times New Roman"/>
          <w:sz w:val="24"/>
        </w:rPr>
      </w:r>
      <w:r/>
    </w:p>
    <w:p>
      <w:pPr>
        <w:ind w:left="0" w:right="0" w:firstLine="0"/>
        <w:spacing w:before="0" w:after="0"/>
        <w:tabs>
          <w:tab w:val="left" w:pos="426" w:leader="none"/>
        </w:tabs>
        <w:rPr>
          <w:rFonts w:ascii="Times New Roman" w:hAnsi="Times New Roman" w:cs="Times New Roman" w:eastAsia="Times New Roman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b/>
          <w:color w:val="000000"/>
          <w:sz w:val="24"/>
        </w:rPr>
        <w:t xml:space="preserve">- INSERIRE nell'anno 2026 la seguente alienazione:</w:t>
      </w:r>
      <w:r>
        <w:rPr>
          <w:rFonts w:ascii="Times New Roman" w:hAnsi="Times New Roman" w:cs="Times New Roman" w:eastAsia="Times New Roman"/>
          <w:sz w:val="24"/>
        </w:rPr>
      </w:r>
      <w:r/>
    </w:p>
    <w:p>
      <w:pPr>
        <w:ind w:left="142" w:right="0" w:firstLine="0"/>
        <w:jc w:val="both"/>
        <w:spacing w:before="0" w:after="0"/>
        <w:rPr>
          <w:rFonts w:ascii="Times New Roman" w:hAnsi="Times New Roman" w:cs="Times New Roman" w:eastAsia="Times New Roman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Frustolo di terreno sito in Via S. Gennaro, già presente nella proposta di integrazione al Piano delle Alienazioni e Valorizzazioni Immobiliari approvato con deliberazione del Consiglio Comunale n. 62 del 08.09.2011 e ricompreso nella Tabella "A" allegata </w:t>
      </w:r>
      <w:r>
        <w:rPr>
          <w:rFonts w:ascii="Times New Roman" w:hAnsi="Times New Roman" w:cs="Times New Roman" w:eastAsia="Times New Roman"/>
          <w:color w:val="000000"/>
          <w:sz w:val="24"/>
        </w:rPr>
        <w:t xml:space="preserve">al Piano delle Alienazioni e Valorizzazioni Immobiliari 2022-2024, approvato con deliberazione del Consiglio Comunale n. 25 del 31.05.2022, con un valore di stima aggiornato al mese di giugno 2026, sulla base dell'indice ISTAT, pari ad Euro 4.878,60. </w:t>
      </w:r>
      <w:r>
        <w:rPr>
          <w:rFonts w:ascii="Times New Roman" w:hAnsi="Times New Roman" w:cs="Times New Roman" w:eastAsia="Times New Roman"/>
          <w:sz w:val="24"/>
        </w:rPr>
      </w:r>
      <w:r/>
    </w:p>
    <w:p>
      <w:pPr>
        <w:ind w:left="0" w:right="0" w:firstLine="0"/>
        <w:jc w:val="both"/>
        <w:spacing w:before="0" w:after="0"/>
        <w:tabs>
          <w:tab w:val="left" w:pos="426" w:leader="none"/>
        </w:tabs>
        <w:rPr>
          <w:rFonts w:ascii="Times New Roman" w:hAnsi="Times New Roman" w:cs="Times New Roman" w:eastAsia="Times New Roman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 </w:t>
      </w:r>
      <w:r>
        <w:rPr>
          <w:rFonts w:ascii="Times New Roman" w:hAnsi="Times New Roman" w:cs="Times New Roman" w:eastAsia="Times New Roman"/>
          <w:sz w:val="24"/>
        </w:rPr>
      </w:r>
      <w:r/>
    </w:p>
    <w:p>
      <w:pPr>
        <w:ind w:left="0" w:right="0" w:firstLine="0"/>
        <w:jc w:val="both"/>
        <w:spacing w:before="0" w:after="0"/>
        <w:tabs>
          <w:tab w:val="left" w:pos="426" w:leader="none"/>
        </w:tabs>
        <w:rPr>
          <w:rFonts w:ascii="Times New Roman" w:hAnsi="Times New Roman" w:cs="Times New Roman" w:eastAsia="Times New Roman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RITENUTO di adottare i provvedimenti conseguenti in ordine all’attuazione del suddetto art. 58 del D.L. n. 112 del 25 giugno 2008, convertito con Legge n. 133 del 6 agosto 2008 e ss.mm.ii. e dell’art. 3 c. 4 del Regolamento per l’alienazione del patrimonio</w:t>
      </w:r>
      <w:r>
        <w:rPr>
          <w:rFonts w:ascii="Times New Roman" w:hAnsi="Times New Roman" w:cs="Times New Roman" w:eastAsia="Times New Roman"/>
          <w:color w:val="000000"/>
          <w:sz w:val="24"/>
        </w:rPr>
        <w:t xml:space="preserve"> immobiliare del Comune di Osimo (approvato con atto C.C. n. 70 del 23.12.2022) e di approvare, con riferimento al Piano delle Alienazioni e Valorizzazioni Immobiliari 2026/2028 l’aggiornamento dell’elenco degli immobili non strumentali all’esercizio delle</w:t>
      </w:r>
      <w:r>
        <w:rPr>
          <w:rFonts w:ascii="Times New Roman" w:hAnsi="Times New Roman" w:cs="Times New Roman" w:eastAsia="Times New Roman"/>
          <w:color w:val="000000"/>
          <w:sz w:val="24"/>
        </w:rPr>
        <w:t xml:space="preserve"> funzioni istituzionali, come da tabella “A” allegata, suscettibili di valorizzazione, dismissione o di destinazione a strumenti sussidiari per la gestione di immobili pubblici;</w:t>
      </w:r>
      <w:r>
        <w:rPr>
          <w:rFonts w:ascii="Times New Roman" w:hAnsi="Times New Roman" w:cs="Times New Roman" w:eastAsia="Times New Roman"/>
          <w:sz w:val="24"/>
        </w:rPr>
      </w:r>
      <w:r/>
    </w:p>
    <w:p>
      <w:pPr>
        <w:ind w:left="0" w:right="0" w:firstLine="0"/>
        <w:jc w:val="both"/>
        <w:spacing w:before="0" w:after="0"/>
        <w:rPr>
          <w:rFonts w:ascii="Times New Roman" w:hAnsi="Times New Roman" w:cs="Times New Roman" w:eastAsia="Times New Roman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 </w:t>
      </w:r>
      <w:r>
        <w:rPr>
          <w:rFonts w:ascii="Times New Roman" w:hAnsi="Times New Roman" w:cs="Times New Roman" w:eastAsia="Times New Roman"/>
          <w:sz w:val="24"/>
        </w:rPr>
      </w:r>
      <w:r/>
    </w:p>
    <w:p>
      <w:pPr>
        <w:ind w:left="0" w:right="0" w:firstLine="0"/>
        <w:jc w:val="both"/>
        <w:spacing w:before="0" w:after="0"/>
        <w:rPr>
          <w:rFonts w:ascii="Times New Roman" w:hAnsi="Times New Roman" w:cs="Times New Roman" w:eastAsia="Times New Roman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DATO ATTO CHE la modifica al Piano delle Alienazioni, a seguito dell’approvazione consiliare, sarà recepita nel bilancio dell’Ente mediante successiva variazione;</w:t>
      </w:r>
      <w:r>
        <w:rPr>
          <w:rFonts w:ascii="Times New Roman" w:hAnsi="Times New Roman" w:cs="Times New Roman" w:eastAsia="Times New Roman"/>
          <w:sz w:val="24"/>
        </w:rPr>
      </w:r>
      <w:r/>
    </w:p>
    <w:p>
      <w:pPr>
        <w:ind w:left="0" w:right="0" w:firstLine="0"/>
        <w:jc w:val="both"/>
        <w:spacing w:before="0" w:after="0"/>
        <w:rPr>
          <w:rFonts w:ascii="Times New Roman" w:hAnsi="Times New Roman" w:cs="Times New Roman" w:eastAsia="Times New Roman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 </w:t>
      </w:r>
      <w:r>
        <w:rPr>
          <w:rFonts w:ascii="Times New Roman" w:hAnsi="Times New Roman" w:cs="Times New Roman" w:eastAsia="Times New Roman"/>
          <w:sz w:val="24"/>
        </w:rPr>
      </w:r>
      <w:r/>
    </w:p>
    <w:p>
      <w:pPr>
        <w:ind w:left="0" w:right="0" w:firstLine="0"/>
        <w:jc w:val="both"/>
        <w:spacing w:before="0" w:after="0"/>
        <w:rPr>
          <w:rFonts w:ascii="Times New Roman" w:hAnsi="Times New Roman" w:cs="Times New Roman" w:eastAsia="Times New Roman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000000" w:themeColor="text1"/>
          <w:sz w:val="24"/>
        </w:rPr>
        <w:t xml:space="preserve">ACQUISITO il parere favorevole da parte del Collegio dei Revisori dei Conti, espresso con verbale n. 56 del 23/07/2026; </w:t>
      </w:r>
      <w:r>
        <w:rPr>
          <w:color w:val="000000" w:themeColor="text1"/>
        </w:rPr>
      </w:r>
      <w:r/>
    </w:p>
    <w:p>
      <w:pPr>
        <w:ind w:left="0" w:right="0" w:firstLine="0"/>
        <w:jc w:val="both"/>
        <w:spacing w:before="0" w:after="0"/>
        <w:rPr>
          <w:rFonts w:ascii="Times New Roman" w:hAnsi="Times New Roman" w:cs="Times New Roman" w:eastAsia="Times New Roman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 </w:t>
      </w:r>
      <w:r>
        <w:rPr>
          <w:rFonts w:ascii="Times New Roman" w:hAnsi="Times New Roman" w:cs="Times New Roman" w:eastAsia="Times New Roman"/>
          <w:sz w:val="24"/>
        </w:rPr>
      </w:r>
      <w:r/>
    </w:p>
    <w:p>
      <w:pPr>
        <w:ind w:left="0" w:right="0" w:firstLine="0"/>
        <w:jc w:val="both"/>
        <w:spacing w:before="0" w:after="0"/>
        <w:rPr>
          <w:rFonts w:ascii="Times New Roman" w:hAnsi="Times New Roman" w:cs="Times New Roman" w:eastAsia="Times New Roman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VISTI: </w:t>
      </w:r>
      <w:r>
        <w:rPr>
          <w:rFonts w:ascii="Times New Roman" w:hAnsi="Times New Roman" w:cs="Times New Roman" w:eastAsia="Times New Roman"/>
          <w:sz w:val="24"/>
        </w:rPr>
      </w:r>
      <w:r/>
    </w:p>
    <w:p>
      <w:pPr>
        <w:numPr>
          <w:ilvl w:val="0"/>
          <w:numId w:val="2"/>
        </w:numPr>
        <w:jc w:val="both"/>
        <w:spacing w:before="0" w:after="0"/>
        <w:tabs>
          <w:tab w:val="left" w:pos="426" w:leader="none"/>
        </w:tabs>
        <w:rPr>
          <w:rFonts w:ascii="Times New Roman" w:hAnsi="Times New Roman" w:cs="Times New Roman" w:eastAsia="Times New Roman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il vigente Statuto comunale, </w:t>
      </w:r>
      <w:r>
        <w:rPr>
          <w:rFonts w:ascii="Times New Roman" w:hAnsi="Times New Roman" w:cs="Times New Roman" w:eastAsia="Times New Roman"/>
          <w:sz w:val="24"/>
        </w:rPr>
      </w:r>
      <w:r/>
    </w:p>
    <w:p>
      <w:pPr>
        <w:numPr>
          <w:ilvl w:val="0"/>
          <w:numId w:val="2"/>
        </w:numPr>
        <w:jc w:val="both"/>
        <w:spacing w:before="0" w:after="0"/>
        <w:tabs>
          <w:tab w:val="left" w:pos="426" w:leader="none"/>
        </w:tabs>
        <w:rPr>
          <w:rFonts w:ascii="Times New Roman" w:hAnsi="Times New Roman" w:cs="Times New Roman" w:eastAsia="Times New Roman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il vigente Regolamento Comunale di Contabilità, </w:t>
      </w:r>
      <w:r>
        <w:rPr>
          <w:rFonts w:ascii="Times New Roman" w:hAnsi="Times New Roman" w:cs="Times New Roman" w:eastAsia="Times New Roman"/>
          <w:sz w:val="24"/>
        </w:rPr>
      </w:r>
      <w:r/>
    </w:p>
    <w:p>
      <w:pPr>
        <w:numPr>
          <w:ilvl w:val="0"/>
          <w:numId w:val="2"/>
        </w:numPr>
        <w:jc w:val="both"/>
        <w:spacing w:before="0" w:after="0"/>
        <w:tabs>
          <w:tab w:val="left" w:pos="426" w:leader="none"/>
        </w:tabs>
        <w:rPr>
          <w:rFonts w:ascii="Times New Roman" w:hAnsi="Times New Roman" w:cs="Times New Roman" w:eastAsia="Times New Roman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il vigente Regolamento Comunale sulle alienazioni immobiliari, </w:t>
      </w:r>
      <w:r>
        <w:rPr>
          <w:rFonts w:ascii="Times New Roman" w:hAnsi="Times New Roman" w:cs="Times New Roman" w:eastAsia="Times New Roman"/>
          <w:sz w:val="24"/>
        </w:rPr>
      </w:r>
      <w:r/>
    </w:p>
    <w:p>
      <w:pPr>
        <w:numPr>
          <w:ilvl w:val="0"/>
          <w:numId w:val="2"/>
        </w:numPr>
        <w:jc w:val="both"/>
        <w:spacing w:before="0" w:after="0"/>
        <w:tabs>
          <w:tab w:val="left" w:pos="426" w:leader="none"/>
        </w:tabs>
        <w:rPr>
          <w:rFonts w:ascii="Times New Roman" w:hAnsi="Times New Roman" w:cs="Times New Roman" w:eastAsia="Times New Roman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il D.Lgs. n. 267/2000 e ss.mm.ii., </w:t>
      </w:r>
      <w:r>
        <w:rPr>
          <w:rFonts w:ascii="Times New Roman" w:hAnsi="Times New Roman" w:cs="Times New Roman" w:eastAsia="Times New Roman"/>
          <w:sz w:val="24"/>
        </w:rPr>
      </w:r>
      <w:r/>
    </w:p>
    <w:p>
      <w:pPr>
        <w:ind w:left="0" w:right="0" w:firstLine="0"/>
        <w:jc w:val="both"/>
        <w:spacing w:before="0" w:after="0"/>
        <w:rPr>
          <w:rFonts w:ascii="Times New Roman" w:hAnsi="Times New Roman" w:cs="Times New Roman" w:eastAsia="Times New Roman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b/>
          <w:color w:val="000000"/>
          <w:sz w:val="24"/>
        </w:rPr>
        <w:t xml:space="preserve"> </w:t>
      </w:r>
      <w:r>
        <w:rPr>
          <w:rFonts w:ascii="Times New Roman" w:hAnsi="Times New Roman" w:cs="Times New Roman" w:eastAsia="Times New Roman"/>
          <w:sz w:val="24"/>
        </w:rPr>
      </w:r>
      <w:r/>
    </w:p>
    <w:p>
      <w:pPr>
        <w:ind w:left="0" w:right="0" w:firstLine="0"/>
        <w:jc w:val="both"/>
        <w:spacing w:before="0" w:after="0"/>
        <w:rPr>
          <w:rFonts w:ascii="Times New Roman" w:hAnsi="Times New Roman" w:cs="Times New Roman" w:eastAsia="Times New Roman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ACQUISITI i seguenti pareri, ai sensi dell’art. 49 del D.Lgs. n. 267/2000:</w:t>
      </w:r>
      <w:r>
        <w:rPr>
          <w:rFonts w:ascii="Times New Roman" w:hAnsi="Times New Roman" w:cs="Times New Roman" w:eastAsia="Times New Roman"/>
          <w:sz w:val="24"/>
        </w:rPr>
      </w:r>
      <w:r/>
    </w:p>
    <w:p>
      <w:pPr>
        <w:ind w:left="0" w:right="0" w:firstLine="0"/>
        <w:jc w:val="both"/>
        <w:spacing w:before="0" w:after="0"/>
        <w:rPr>
          <w:rFonts w:ascii="Times New Roman" w:hAnsi="Times New Roman" w:cs="Times New Roman" w:eastAsia="Times New Roman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 </w:t>
      </w:r>
      <w:r>
        <w:rPr>
          <w:rFonts w:ascii="Times New Roman" w:hAnsi="Times New Roman" w:cs="Times New Roman" w:eastAsia="Times New Roman"/>
          <w:sz w:val="24"/>
        </w:rPr>
      </w:r>
      <w:r/>
    </w:p>
    <w:p>
      <w:pPr>
        <w:ind w:left="0" w:right="0" w:firstLine="0"/>
        <w:jc w:val="both"/>
        <w:spacing w:before="0" w:after="0"/>
        <w:rPr>
          <w:rFonts w:ascii="Times New Roman" w:hAnsi="Times New Roman" w:cs="Times New Roman" w:eastAsia="Times New Roman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Parere favorevole di regolarità tecnica</w:t>
      </w:r>
      <w:r>
        <w:rPr>
          <w:rFonts w:ascii="Times New Roman" w:hAnsi="Times New Roman" w:cs="Times New Roman" w:eastAsia="Times New Roman"/>
          <w:sz w:val="24"/>
        </w:rPr>
      </w:r>
      <w:r/>
    </w:p>
    <w:p>
      <w:pPr>
        <w:ind w:left="0" w:right="0" w:firstLine="0"/>
        <w:jc w:val="both"/>
        <w:spacing w:before="0" w:after="0"/>
        <w:rPr>
          <w:rFonts w:ascii="Times New Roman" w:hAnsi="Times New Roman" w:cs="Times New Roman" w:eastAsia="Times New Roman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La Dirigente del Dipartimento del Territorio – Arch. Manuela Vecchietti   </w:t>
      </w:r>
      <w:r>
        <w:rPr>
          <w:rFonts w:ascii="Times New Roman" w:hAnsi="Times New Roman" w:cs="Times New Roman" w:eastAsia="Times New Roman"/>
          <w:sz w:val="24"/>
        </w:rPr>
      </w:r>
      <w:r/>
    </w:p>
    <w:p>
      <w:pPr>
        <w:ind w:left="0" w:right="0" w:firstLine="0"/>
        <w:jc w:val="both"/>
        <w:spacing w:before="0" w:after="0"/>
        <w:rPr>
          <w:rFonts w:ascii="Times New Roman" w:hAnsi="Times New Roman" w:cs="Times New Roman" w:eastAsia="Times New Roman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 </w:t>
      </w:r>
      <w:r>
        <w:rPr>
          <w:rFonts w:ascii="Times New Roman" w:hAnsi="Times New Roman" w:cs="Times New Roman" w:eastAsia="Times New Roman"/>
          <w:sz w:val="24"/>
        </w:rPr>
      </w:r>
      <w:r/>
    </w:p>
    <w:p>
      <w:pPr>
        <w:ind w:left="0" w:right="0" w:firstLine="0"/>
        <w:jc w:val="both"/>
        <w:spacing w:before="0" w:after="0"/>
        <w:rPr>
          <w:rFonts w:ascii="Times New Roman" w:hAnsi="Times New Roman" w:cs="Times New Roman" w:eastAsia="Times New Roman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Parere favorevole di regolarità contabile </w:t>
      </w:r>
      <w:r>
        <w:rPr>
          <w:rFonts w:ascii="Times New Roman" w:hAnsi="Times New Roman" w:cs="Times New Roman" w:eastAsia="Times New Roman"/>
          <w:sz w:val="24"/>
        </w:rPr>
      </w:r>
      <w:r/>
    </w:p>
    <w:p>
      <w:pPr>
        <w:ind w:left="0" w:right="0" w:firstLine="0"/>
        <w:jc w:val="both"/>
        <w:spacing w:before="0" w:after="0"/>
        <w:rPr>
          <w:rFonts w:ascii="Times New Roman" w:hAnsi="Times New Roman" w:cs="Times New Roman" w:eastAsia="Times New Roman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Il Dirigente del Dipartimento delle Finanze - Dott.ssa Anna Tiberi</w:t>
      </w:r>
      <w:r>
        <w:rPr>
          <w:rFonts w:ascii="Times New Roman" w:hAnsi="Times New Roman" w:cs="Times New Roman" w:eastAsia="Times New Roman"/>
          <w:sz w:val="24"/>
        </w:rPr>
      </w:r>
      <w:r/>
    </w:p>
    <w:p>
      <w:pPr>
        <w:ind w:left="0" w:right="0" w:firstLine="0"/>
        <w:jc w:val="both"/>
        <w:spacing w:before="0" w:after="0"/>
        <w:rPr>
          <w:rFonts w:ascii="Times New Roman" w:hAnsi="Times New Roman" w:cs="Times New Roman" w:eastAsia="Times New Roman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 </w:t>
      </w:r>
      <w:r>
        <w:rPr>
          <w:rFonts w:ascii="Times New Roman" w:hAnsi="Times New Roman" w:cs="Times New Roman" w:eastAsia="Times New Roman"/>
          <w:sz w:val="24"/>
        </w:rPr>
      </w:r>
      <w:r/>
    </w:p>
    <w:p>
      <w:pPr>
        <w:ind w:left="0" w:right="0" w:firstLine="0"/>
        <w:jc w:val="center"/>
        <w:spacing w:before="0" w:after="0"/>
        <w:rPr>
          <w:rFonts w:ascii="Times New Roman" w:hAnsi="Times New Roman" w:cs="Times New Roman" w:eastAsia="Times New Roman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b/>
          <w:color w:val="000000"/>
          <w:sz w:val="24"/>
        </w:rPr>
        <w:t xml:space="preserve">D E L I B E R A</w:t>
      </w:r>
      <w:r>
        <w:rPr>
          <w:rFonts w:ascii="Times New Roman" w:hAnsi="Times New Roman" w:cs="Times New Roman" w:eastAsia="Times New Roman"/>
          <w:sz w:val="24"/>
        </w:rPr>
      </w:r>
      <w:r/>
    </w:p>
    <w:p>
      <w:pPr>
        <w:ind w:left="0" w:right="0" w:firstLine="0"/>
        <w:jc w:val="center"/>
        <w:spacing w:before="0" w:after="0"/>
        <w:rPr>
          <w:rFonts w:ascii="Times New Roman" w:hAnsi="Times New Roman" w:cs="Times New Roman" w:eastAsia="Times New Roman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b/>
          <w:color w:val="000000"/>
          <w:sz w:val="24"/>
        </w:rPr>
        <w:t xml:space="preserve"> </w:t>
      </w:r>
      <w:r>
        <w:rPr>
          <w:rFonts w:ascii="Times New Roman" w:hAnsi="Times New Roman" w:cs="Times New Roman" w:eastAsia="Times New Roman"/>
          <w:sz w:val="24"/>
        </w:rPr>
      </w:r>
      <w:r/>
    </w:p>
    <w:p>
      <w:pPr>
        <w:numPr>
          <w:ilvl w:val="0"/>
          <w:numId w:val="3"/>
        </w:numPr>
        <w:ind w:left="425" w:right="0" w:hanging="425"/>
        <w:jc w:val="both"/>
        <w:spacing w:before="0" w:after="0"/>
        <w:tabs>
          <w:tab w:val="left" w:pos="426" w:leader="none"/>
        </w:tabs>
        <w:rPr>
          <w:rFonts w:ascii="Times New Roman" w:hAnsi="Times New Roman" w:cs="Times New Roman" w:eastAsia="Times New Roman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di far proprio e condividere quanto esposto nelle premesse di cui sopra, le quali costituiscono parte integrante e sostanziale del presente provvedimento;</w:t>
      </w:r>
      <w:r>
        <w:rPr>
          <w:rFonts w:ascii="Times New Roman" w:hAnsi="Times New Roman" w:cs="Times New Roman" w:eastAsia="Times New Roman"/>
          <w:sz w:val="24"/>
        </w:rPr>
      </w:r>
      <w:r/>
    </w:p>
    <w:p>
      <w:pPr>
        <w:ind w:left="425" w:right="0" w:hanging="425"/>
        <w:jc w:val="both"/>
        <w:spacing w:before="0" w:after="0"/>
        <w:tabs>
          <w:tab w:val="left" w:pos="426" w:leader="none"/>
        </w:tabs>
        <w:rPr>
          <w:rFonts w:ascii="Times New Roman" w:hAnsi="Times New Roman" w:cs="Times New Roman" w:eastAsia="Times New Roman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FF0000"/>
          <w:sz w:val="24"/>
        </w:rPr>
        <w:t xml:space="preserve"> </w:t>
      </w:r>
      <w:r>
        <w:rPr>
          <w:rFonts w:ascii="Times New Roman" w:hAnsi="Times New Roman" w:cs="Times New Roman" w:eastAsia="Times New Roman"/>
          <w:sz w:val="24"/>
        </w:rPr>
      </w:r>
      <w:r/>
    </w:p>
    <w:p>
      <w:pPr>
        <w:numPr>
          <w:ilvl w:val="0"/>
          <w:numId w:val="3"/>
        </w:numPr>
        <w:ind w:left="425" w:right="0" w:hanging="425"/>
        <w:jc w:val="both"/>
        <w:spacing w:before="0" w:after="0"/>
        <w:tabs>
          <w:tab w:val="left" w:pos="426" w:leader="none"/>
        </w:tabs>
        <w:rPr>
          <w:rFonts w:ascii="Times New Roman" w:hAnsi="Times New Roman" w:cs="Times New Roman" w:eastAsia="Times New Roman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di approvare l’aggiornamento del “Piano triennale delle alienazioni e valorizzazioni immobiliari 2026–2028”, contenente l’elenco degli immobili non strumentali all’esercizio delle funzioni istituzionali, come individuati nella Tabella “A” allegata, suscett</w:t>
      </w:r>
      <w:r>
        <w:rPr>
          <w:rFonts w:ascii="Times New Roman" w:hAnsi="Times New Roman" w:cs="Times New Roman" w:eastAsia="Times New Roman"/>
          <w:color w:val="000000"/>
          <w:sz w:val="24"/>
        </w:rPr>
        <w:t xml:space="preserve">ibili di valorizzazione, dismissione o destinazione a strumenti sussidiari per la gestione del patrimonio immobiliare pubblico, e precisamente:</w:t>
      </w:r>
      <w:r>
        <w:rPr>
          <w:rFonts w:ascii="Times New Roman" w:hAnsi="Times New Roman" w:cs="Times New Roman" w:eastAsia="Times New Roman"/>
          <w:sz w:val="24"/>
        </w:rPr>
      </w:r>
      <w:r/>
    </w:p>
    <w:p>
      <w:pPr>
        <w:ind w:left="0" w:right="0" w:firstLine="0"/>
        <w:jc w:val="both"/>
        <w:spacing w:before="0" w:after="0"/>
        <w:tabs>
          <w:tab w:val="left" w:pos="426" w:leader="none"/>
          <w:tab w:val="left" w:pos="720" w:leader="none"/>
        </w:tabs>
        <w:rPr>
          <w:rFonts w:ascii="Times New Roman" w:hAnsi="Times New Roman" w:cs="Times New Roman" w:eastAsia="Times New Roman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 </w:t>
      </w:r>
      <w:r>
        <w:rPr>
          <w:rFonts w:ascii="Times New Roman" w:hAnsi="Times New Roman" w:cs="Times New Roman" w:eastAsia="Times New Roman"/>
          <w:sz w:val="24"/>
        </w:rPr>
      </w:r>
      <w:r/>
    </w:p>
    <w:p>
      <w:pPr>
        <w:ind w:left="0" w:right="0" w:firstLine="0"/>
        <w:spacing w:before="0" w:after="0"/>
        <w:tabs>
          <w:tab w:val="left" w:pos="426" w:leader="none"/>
        </w:tabs>
        <w:rPr>
          <w:rFonts w:ascii="Times New Roman" w:hAnsi="Times New Roman" w:cs="Times New Roman" w:eastAsia="Times New Roman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  </w:t>
      </w:r>
      <w:r>
        <w:rPr>
          <w:rFonts w:ascii="Times New Roman" w:hAnsi="Times New Roman" w:cs="Times New Roman" w:eastAsia="Times New Roman"/>
          <w:b/>
          <w:color w:val="000000"/>
          <w:sz w:val="24"/>
        </w:rPr>
        <w:t xml:space="preserve">- INSERIRE nell'anno 2026 la seguente alienazione:</w:t>
      </w:r>
      <w:r>
        <w:rPr>
          <w:rFonts w:ascii="Times New Roman" w:hAnsi="Times New Roman" w:cs="Times New Roman" w:eastAsia="Times New Roman"/>
          <w:sz w:val="24"/>
        </w:rPr>
      </w:r>
      <w:r/>
    </w:p>
    <w:p>
      <w:pPr>
        <w:ind w:left="283" w:right="0" w:firstLine="0"/>
        <w:jc w:val="both"/>
        <w:spacing w:before="0" w:after="0"/>
        <w:rPr>
          <w:rFonts w:ascii="Times New Roman" w:hAnsi="Times New Roman" w:cs="Times New Roman" w:eastAsia="Times New Roman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Frustolo di terreno sito in Via S. Gennaro, già presente nella proposta di integrazione al Piano delle Alienazioni e Valorizzazioni Immobiliari approvato con deliberazione del Consiglio Comunale n. 62 del 08.09.2011 e ricompreso nella Tabella "A" allegata </w:t>
      </w:r>
      <w:r>
        <w:rPr>
          <w:rFonts w:ascii="Times New Roman" w:hAnsi="Times New Roman" w:cs="Times New Roman" w:eastAsia="Times New Roman"/>
          <w:color w:val="000000"/>
          <w:sz w:val="24"/>
        </w:rPr>
        <w:t xml:space="preserve">al Piano delle Alienazioni e Valorizzazioni Immobiliari 2022-2024, approvato con deliberazione del Consiglio Comunale n. 25 del 31.05.2022, con un valore di stima aggiornato al mese di giugno 2026, sulla base dell'indice ISTAT, pari ad Euro 4.878,60. </w:t>
      </w:r>
      <w:r>
        <w:rPr>
          <w:rFonts w:ascii="Times New Roman" w:hAnsi="Times New Roman" w:cs="Times New Roman" w:eastAsia="Times New Roman"/>
          <w:sz w:val="24"/>
        </w:rPr>
      </w:r>
      <w:r/>
    </w:p>
    <w:p>
      <w:pPr>
        <w:ind w:left="0" w:right="0" w:firstLine="0"/>
        <w:jc w:val="both"/>
        <w:spacing w:before="0" w:after="0"/>
        <w:rPr>
          <w:rFonts w:ascii="Times New Roman" w:hAnsi="Times New Roman" w:cs="Times New Roman" w:eastAsia="Times New Roman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FF0000"/>
          <w:sz w:val="24"/>
        </w:rPr>
        <w:t xml:space="preserve"> </w:t>
      </w:r>
      <w:r>
        <w:rPr>
          <w:rFonts w:ascii="Times New Roman" w:hAnsi="Times New Roman" w:cs="Times New Roman" w:eastAsia="Times New Roman"/>
          <w:sz w:val="24"/>
        </w:rPr>
      </w:r>
      <w:r/>
    </w:p>
    <w:p>
      <w:pPr>
        <w:numPr>
          <w:ilvl w:val="0"/>
          <w:numId w:val="3"/>
        </w:numPr>
        <w:ind w:left="425" w:right="0" w:hanging="425"/>
        <w:jc w:val="both"/>
        <w:spacing w:before="0" w:after="0"/>
        <w:tabs>
          <w:tab w:val="left" w:pos="426" w:leader="none"/>
        </w:tabs>
        <w:rPr>
          <w:rFonts w:ascii="Times New Roman" w:hAnsi="Times New Roman" w:cs="Times New Roman" w:eastAsia="Times New Roman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di dare atto che l’aggiornamento del “Piano delle alienazioni e valorizzazioni del patrimonio immobiliare 2026-2028” comporta contestuale modifica del “Documento Unico di Programmazione (DUP 2026-2028)”, ai sensi della normativa vigente, del quale costitui</w:t>
      </w:r>
      <w:r>
        <w:rPr>
          <w:rFonts w:ascii="Times New Roman" w:hAnsi="Times New Roman" w:cs="Times New Roman" w:eastAsia="Times New Roman"/>
          <w:color w:val="000000"/>
          <w:sz w:val="24"/>
        </w:rPr>
        <w:t xml:space="preserve">sce parte integrante e sostanziale;</w:t>
      </w:r>
      <w:r>
        <w:rPr>
          <w:rFonts w:ascii="Times New Roman" w:hAnsi="Times New Roman" w:cs="Times New Roman" w:eastAsia="Times New Roman"/>
          <w:sz w:val="24"/>
        </w:rPr>
      </w:r>
      <w:r/>
    </w:p>
    <w:p>
      <w:pPr>
        <w:ind w:left="425" w:right="0" w:hanging="425"/>
        <w:jc w:val="both"/>
        <w:spacing w:before="0" w:after="0"/>
        <w:tabs>
          <w:tab w:val="left" w:pos="426" w:leader="none"/>
        </w:tabs>
        <w:rPr>
          <w:rFonts w:ascii="Times New Roman" w:hAnsi="Times New Roman" w:cs="Times New Roman" w:eastAsia="Times New Roman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 </w:t>
      </w:r>
      <w:r>
        <w:rPr>
          <w:rFonts w:ascii="Times New Roman" w:hAnsi="Times New Roman" w:cs="Times New Roman" w:eastAsia="Times New Roman"/>
          <w:sz w:val="24"/>
        </w:rPr>
      </w:r>
      <w:r/>
    </w:p>
    <w:p>
      <w:pPr>
        <w:numPr>
          <w:ilvl w:val="0"/>
          <w:numId w:val="3"/>
        </w:numPr>
        <w:ind w:left="425" w:right="0" w:hanging="425"/>
        <w:jc w:val="both"/>
        <w:spacing w:before="0" w:after="0"/>
        <w:tabs>
          <w:tab w:val="left" w:pos="426" w:leader="none"/>
        </w:tabs>
        <w:rPr>
          <w:rFonts w:ascii="Times New Roman" w:hAnsi="Times New Roman" w:cs="Times New Roman" w:eastAsia="Times New Roman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di dare atto che l'elenco degli immobili di cui alla Tabella "A" ha effetto dichiarativo della proprietà anche in assenza di precedenti trascrizioni e produce gli effetti previsti dall'art. 2644 del Codice Civile, ai sensi dell'art. 58 c. 3 del D.L. n. 112</w:t>
      </w:r>
      <w:r>
        <w:rPr>
          <w:rFonts w:ascii="Times New Roman" w:hAnsi="Times New Roman" w:cs="Times New Roman" w:eastAsia="Times New Roman"/>
          <w:color w:val="000000"/>
          <w:sz w:val="24"/>
        </w:rPr>
        <w:t xml:space="preserve">/08, convertito in L. n° 133/08 e ss.mm.ii., nonché gli effetti sostitutivi dell'iscrizione dei beni in Catasto; </w:t>
      </w:r>
      <w:r>
        <w:rPr>
          <w:rFonts w:ascii="Times New Roman" w:hAnsi="Times New Roman" w:cs="Times New Roman" w:eastAsia="Times New Roman"/>
          <w:sz w:val="24"/>
        </w:rPr>
      </w:r>
      <w:r/>
    </w:p>
    <w:p>
      <w:pPr>
        <w:ind w:left="425" w:right="0" w:hanging="425"/>
        <w:jc w:val="both"/>
        <w:spacing w:before="0" w:after="0"/>
        <w:tabs>
          <w:tab w:val="left" w:pos="426" w:leader="none"/>
        </w:tabs>
        <w:rPr>
          <w:rFonts w:ascii="Times New Roman" w:hAnsi="Times New Roman" w:cs="Times New Roman" w:eastAsia="Times New Roman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 </w:t>
      </w:r>
      <w:r>
        <w:rPr>
          <w:rFonts w:ascii="Times New Roman" w:hAnsi="Times New Roman" w:cs="Times New Roman" w:eastAsia="Times New Roman"/>
          <w:sz w:val="24"/>
        </w:rPr>
      </w:r>
      <w:r/>
    </w:p>
    <w:p>
      <w:pPr>
        <w:numPr>
          <w:ilvl w:val="0"/>
          <w:numId w:val="3"/>
        </w:numPr>
        <w:ind w:left="425" w:right="0" w:hanging="425"/>
        <w:jc w:val="both"/>
        <w:spacing w:before="0" w:after="0"/>
        <w:tabs>
          <w:tab w:val="left" w:pos="426" w:leader="none"/>
        </w:tabs>
        <w:rPr>
          <w:rFonts w:ascii="Times New Roman" w:hAnsi="Times New Roman" w:cs="Times New Roman" w:eastAsia="Times New Roman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di dare atto che, avverso l'iscrizione degli immobili nel Piano, è ammesso ricorso amministrativo entro 60 giorni dalla pubblicazione all'Albo Pretorio e sul sito internet del Comune;</w:t>
      </w:r>
      <w:r>
        <w:rPr>
          <w:rFonts w:ascii="Times New Roman" w:hAnsi="Times New Roman" w:cs="Times New Roman" w:eastAsia="Times New Roman"/>
          <w:sz w:val="24"/>
        </w:rPr>
      </w:r>
      <w:r/>
    </w:p>
    <w:p>
      <w:pPr>
        <w:ind w:left="425" w:right="0" w:hanging="425"/>
        <w:jc w:val="both"/>
        <w:spacing w:before="0" w:after="0"/>
        <w:tabs>
          <w:tab w:val="left" w:pos="426" w:leader="none"/>
        </w:tabs>
        <w:rPr>
          <w:rFonts w:ascii="Times New Roman" w:hAnsi="Times New Roman" w:cs="Times New Roman" w:eastAsia="Times New Roman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 </w:t>
      </w:r>
      <w:r>
        <w:rPr>
          <w:rFonts w:ascii="Times New Roman" w:hAnsi="Times New Roman" w:cs="Times New Roman" w:eastAsia="Times New Roman"/>
          <w:sz w:val="24"/>
        </w:rPr>
      </w:r>
      <w:r/>
    </w:p>
    <w:p>
      <w:pPr>
        <w:numPr>
          <w:ilvl w:val="0"/>
          <w:numId w:val="3"/>
        </w:numPr>
        <w:ind w:left="425" w:right="0" w:hanging="425"/>
        <w:jc w:val="both"/>
        <w:spacing w:before="0" w:after="0"/>
        <w:tabs>
          <w:tab w:val="left" w:pos="426" w:leader="none"/>
        </w:tabs>
        <w:rPr>
          <w:rFonts w:ascii="Times New Roman" w:hAnsi="Times New Roman" w:cs="Times New Roman" w:eastAsia="Times New Roman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di dare atto che, per gli immobili inseriti nel Piano, qualora non sia già stata effettuata e ove necessario, dovrà essere preventivamente attivata la procedura di verifica dell’interesse culturale di cui agli artt. 10 e 12 del D.Lgs. 22 gennaio 2004, n. 4</w:t>
      </w:r>
      <w:r>
        <w:rPr>
          <w:rFonts w:ascii="Times New Roman" w:hAnsi="Times New Roman" w:cs="Times New Roman" w:eastAsia="Times New Roman"/>
          <w:color w:val="000000"/>
          <w:sz w:val="24"/>
        </w:rPr>
        <w:t xml:space="preserve">2 e ss.mm.ii. e, in caso di accertata sussistenza di tale interesse, dovrà essere acquisita la preventiva autorizzazione all’alienazione da parte del competente Ministero della Cultura, ai sensi e per gli effetti dell’art. 55 del medesimo decreto; </w:t>
      </w:r>
      <w:r>
        <w:rPr>
          <w:rFonts w:ascii="Times New Roman" w:hAnsi="Times New Roman" w:cs="Times New Roman" w:eastAsia="Times New Roman"/>
          <w:sz w:val="24"/>
        </w:rPr>
      </w:r>
      <w:r/>
    </w:p>
    <w:p>
      <w:pPr>
        <w:ind w:left="425" w:right="0" w:hanging="425"/>
        <w:jc w:val="both"/>
        <w:spacing w:before="0" w:after="0"/>
        <w:tabs>
          <w:tab w:val="left" w:pos="426" w:leader="none"/>
        </w:tabs>
        <w:rPr>
          <w:rFonts w:ascii="Times New Roman" w:hAnsi="Times New Roman" w:cs="Times New Roman" w:eastAsia="Times New Roman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 </w:t>
      </w:r>
      <w:r>
        <w:rPr>
          <w:rFonts w:ascii="Times New Roman" w:hAnsi="Times New Roman" w:cs="Times New Roman" w:eastAsia="Times New Roman"/>
          <w:sz w:val="24"/>
        </w:rPr>
      </w:r>
      <w:r/>
    </w:p>
    <w:p>
      <w:pPr>
        <w:numPr>
          <w:ilvl w:val="0"/>
          <w:numId w:val="3"/>
        </w:numPr>
        <w:ind w:left="425" w:right="0" w:hanging="425"/>
        <w:jc w:val="both"/>
        <w:spacing w:before="0" w:after="0"/>
        <w:tabs>
          <w:tab w:val="left" w:pos="426" w:leader="none"/>
        </w:tabs>
        <w:rPr>
          <w:rFonts w:ascii="Times New Roman" w:hAnsi="Times New Roman" w:cs="Times New Roman" w:eastAsia="Times New Roman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di dare mandato al Dirigente del Dipartimento del Territorio di porre in essere tutti gli adempimenti e le procedure previste qualora le destinazioni d’uso degli immobili, per effetto della loro valorizzazione o alienazione, comportino modificazioni allo s</w:t>
      </w:r>
      <w:r>
        <w:rPr>
          <w:rFonts w:ascii="Times New Roman" w:hAnsi="Times New Roman" w:cs="Times New Roman" w:eastAsia="Times New Roman"/>
          <w:color w:val="000000"/>
          <w:sz w:val="24"/>
        </w:rPr>
        <w:t xml:space="preserve">trumento urbanistico generale, ai sensi della normativa vigente; </w:t>
      </w:r>
      <w:r>
        <w:rPr>
          <w:rFonts w:ascii="Times New Roman" w:hAnsi="Times New Roman" w:cs="Times New Roman" w:eastAsia="Times New Roman"/>
          <w:sz w:val="24"/>
        </w:rPr>
      </w:r>
      <w:r/>
    </w:p>
    <w:p>
      <w:pPr>
        <w:ind w:left="425" w:right="0" w:hanging="425"/>
        <w:spacing w:before="0" w:after="0"/>
        <w:tabs>
          <w:tab w:val="left" w:pos="426" w:leader="none"/>
        </w:tabs>
        <w:rPr>
          <w:rFonts w:ascii="Times New Roman" w:hAnsi="Times New Roman" w:cs="Times New Roman" w:eastAsia="Times New Roman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 </w:t>
      </w:r>
      <w:r>
        <w:rPr>
          <w:rFonts w:ascii="Times New Roman" w:hAnsi="Times New Roman" w:cs="Times New Roman" w:eastAsia="Times New Roman"/>
          <w:sz w:val="24"/>
        </w:rPr>
      </w:r>
      <w:r/>
    </w:p>
    <w:p>
      <w:pPr>
        <w:numPr>
          <w:ilvl w:val="0"/>
          <w:numId w:val="3"/>
        </w:numPr>
        <w:ind w:left="425" w:right="0" w:hanging="425"/>
        <w:jc w:val="both"/>
        <w:spacing w:before="0" w:after="0"/>
        <w:tabs>
          <w:tab w:val="left" w:pos="426" w:leader="none"/>
        </w:tabs>
        <w:rPr>
          <w:rFonts w:ascii="Times New Roman" w:hAnsi="Times New Roman" w:cs="Times New Roman" w:eastAsia="Times New Roman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di dare atto che l’anno indicato nel Piano è riferito all’avvio delle procedure di dismissione e non alla conclusione delle stesse con il trasferimento della proprietà a terzi, non prevedibile né preventivabile, anche in considerazione dell’andamento del m</w:t>
      </w:r>
      <w:r>
        <w:rPr>
          <w:rFonts w:ascii="Times New Roman" w:hAnsi="Times New Roman" w:cs="Times New Roman" w:eastAsia="Times New Roman"/>
          <w:color w:val="000000"/>
          <w:sz w:val="24"/>
        </w:rPr>
        <w:t xml:space="preserve">ercato immobiliare;</w:t>
      </w:r>
      <w:r>
        <w:rPr>
          <w:rFonts w:ascii="Times New Roman" w:hAnsi="Times New Roman" w:cs="Times New Roman" w:eastAsia="Times New Roman"/>
          <w:sz w:val="24"/>
        </w:rPr>
      </w:r>
      <w:r/>
    </w:p>
    <w:p>
      <w:pPr>
        <w:ind w:left="425" w:right="0" w:hanging="425"/>
        <w:jc w:val="both"/>
        <w:spacing w:before="0" w:after="0"/>
        <w:tabs>
          <w:tab w:val="left" w:pos="426" w:leader="none"/>
        </w:tabs>
        <w:rPr>
          <w:rFonts w:ascii="Times New Roman" w:hAnsi="Times New Roman" w:cs="Times New Roman" w:eastAsia="Times New Roman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 </w:t>
      </w:r>
      <w:r>
        <w:rPr>
          <w:rFonts w:ascii="Times New Roman" w:hAnsi="Times New Roman" w:cs="Times New Roman" w:eastAsia="Times New Roman"/>
          <w:sz w:val="24"/>
        </w:rPr>
      </w:r>
      <w:r/>
    </w:p>
    <w:p>
      <w:pPr>
        <w:numPr>
          <w:ilvl w:val="0"/>
          <w:numId w:val="3"/>
        </w:numPr>
        <w:ind w:left="425" w:right="0" w:hanging="425"/>
        <w:jc w:val="both"/>
        <w:spacing w:before="0" w:after="0"/>
        <w:tabs>
          <w:tab w:val="left" w:pos="426" w:leader="none"/>
        </w:tabs>
        <w:rPr>
          <w:rFonts w:ascii="Times New Roman" w:hAnsi="Times New Roman" w:cs="Times New Roman" w:eastAsia="Times New Roman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di dare atto che per quanto attiene alle modalità di dismissione mediante alienazione degli immobili inseriti nel Piano si applicheranno le procedure e le tempistiche previste dal Regolamento per l'alienazione del Patrimonio immobiliare di proprietà comuna</w:t>
      </w:r>
      <w:r>
        <w:rPr>
          <w:rFonts w:ascii="Times New Roman" w:hAnsi="Times New Roman" w:cs="Times New Roman" w:eastAsia="Times New Roman"/>
          <w:color w:val="000000"/>
          <w:sz w:val="24"/>
        </w:rPr>
        <w:t xml:space="preserve">le approvato con atto C.C. n. 70 del 23.12.2022;</w:t>
      </w:r>
      <w:r>
        <w:rPr>
          <w:rFonts w:ascii="Times New Roman" w:hAnsi="Times New Roman" w:cs="Times New Roman" w:eastAsia="Times New Roman"/>
          <w:sz w:val="24"/>
        </w:rPr>
      </w:r>
      <w:r/>
    </w:p>
    <w:p>
      <w:pPr>
        <w:ind w:left="425" w:right="0" w:hanging="425"/>
        <w:jc w:val="both"/>
        <w:spacing w:before="0" w:after="0"/>
        <w:tabs>
          <w:tab w:val="left" w:pos="426" w:leader="none"/>
        </w:tabs>
        <w:rPr>
          <w:rFonts w:ascii="Times New Roman" w:hAnsi="Times New Roman" w:cs="Times New Roman" w:eastAsia="Times New Roman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 </w:t>
      </w:r>
      <w:r>
        <w:rPr>
          <w:rFonts w:ascii="Times New Roman" w:hAnsi="Times New Roman" w:cs="Times New Roman" w:eastAsia="Times New Roman"/>
          <w:sz w:val="24"/>
        </w:rPr>
      </w:r>
      <w:r/>
    </w:p>
    <w:p>
      <w:pPr>
        <w:numPr>
          <w:ilvl w:val="0"/>
          <w:numId w:val="3"/>
        </w:numPr>
        <w:ind w:left="425" w:right="0" w:hanging="425"/>
        <w:jc w:val="both"/>
        <w:spacing w:before="0" w:after="0"/>
        <w:tabs>
          <w:tab w:val="left" w:pos="426" w:leader="none"/>
        </w:tabs>
        <w:rPr>
          <w:rFonts w:ascii="Times New Roman" w:hAnsi="Times New Roman" w:cs="Times New Roman" w:eastAsia="Times New Roman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di dare atto che si procederà all’aggiornamento annuale del Piano anche in relazione ad ulteriori beni che dovessero rendersi disponibili, in quanto non più necessari all’esercizio delle funzioni istituzionali; </w:t>
      </w:r>
      <w:r>
        <w:rPr>
          <w:rFonts w:ascii="Times New Roman" w:hAnsi="Times New Roman" w:cs="Times New Roman" w:eastAsia="Times New Roman"/>
          <w:sz w:val="24"/>
        </w:rPr>
      </w:r>
      <w:r/>
    </w:p>
    <w:p>
      <w:pPr>
        <w:ind w:left="425" w:right="0" w:hanging="425"/>
        <w:jc w:val="both"/>
        <w:spacing w:before="0" w:after="0"/>
        <w:tabs>
          <w:tab w:val="left" w:pos="426" w:leader="none"/>
        </w:tabs>
        <w:rPr>
          <w:rFonts w:ascii="Times New Roman" w:hAnsi="Times New Roman" w:cs="Times New Roman" w:eastAsia="Times New Roman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 </w:t>
      </w:r>
      <w:r>
        <w:rPr>
          <w:rFonts w:ascii="Times New Roman" w:hAnsi="Times New Roman" w:cs="Times New Roman" w:eastAsia="Times New Roman"/>
          <w:sz w:val="24"/>
        </w:rPr>
      </w:r>
      <w:r/>
    </w:p>
    <w:p>
      <w:pPr>
        <w:numPr>
          <w:ilvl w:val="0"/>
          <w:numId w:val="3"/>
        </w:numPr>
        <w:ind w:left="425" w:right="0" w:hanging="425"/>
        <w:jc w:val="both"/>
        <w:spacing w:before="0" w:after="0"/>
        <w:tabs>
          <w:tab w:val="left" w:pos="426" w:leader="none"/>
        </w:tabs>
        <w:rPr>
          <w:rFonts w:ascii="Times New Roman" w:hAnsi="Times New Roman" w:cs="Times New Roman" w:eastAsia="Times New Roman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di dare atto che, ai sensi del D.L. 69/2013, come modificato dal D.L. 19 giugno 2015, n. 78 e ss.mm.ii., una quota pari al 10% dei proventi derivanti dalle alienazioni del patrimonio immobiliare disponibile sarà destinata prioritariamente all’estinzione an</w:t>
      </w:r>
      <w:r>
        <w:rPr>
          <w:rFonts w:ascii="Times New Roman" w:hAnsi="Times New Roman" w:cs="Times New Roman" w:eastAsia="Times New Roman"/>
          <w:color w:val="000000"/>
          <w:sz w:val="24"/>
        </w:rPr>
        <w:t xml:space="preserve">ticipata dei mutui, con modalità da definirsi nel rispetto della normativa vigente e tenuto conto della convenienza economico-finanziaria delle operazioni.</w:t>
      </w:r>
      <w:r>
        <w:rPr>
          <w:rFonts w:ascii="Times New Roman" w:hAnsi="Times New Roman" w:cs="Times New Roman" w:eastAsia="Times New Roman"/>
          <w:sz w:val="24"/>
        </w:rPr>
      </w:r>
      <w:r/>
    </w:p>
    <w:p>
      <w:pPr>
        <w:ind w:left="0" w:right="0" w:firstLine="0"/>
        <w:jc w:val="center"/>
        <w:spacing w:before="0" w:after="0"/>
        <w:tabs>
          <w:tab w:val="left" w:pos="426" w:leader="none"/>
          <w:tab w:val="left" w:pos="720" w:leader="none"/>
        </w:tabs>
        <w:rPr>
          <w:rFonts w:ascii="Times New Roman" w:hAnsi="Times New Roman" w:cs="Times New Roman" w:eastAsia="Times New Roman"/>
          <w:sz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  <w:highlight w:val="none"/>
        </w:rPr>
      </w:r>
      <w:r>
        <w:rPr>
          <w:rFonts w:ascii="Times New Roman" w:hAnsi="Times New Roman" w:cs="Times New Roman" w:eastAsia="Times New Roman"/>
          <w:color w:val="000000"/>
          <w:sz w:val="24"/>
          <w:highlight w:val="none"/>
        </w:rPr>
      </w:r>
      <w:r/>
    </w:p>
    <w:p>
      <w:pPr>
        <w:ind w:left="0" w:right="0" w:firstLine="0"/>
        <w:jc w:val="center"/>
        <w:spacing w:before="0" w:after="0"/>
        <w:tabs>
          <w:tab w:val="left" w:pos="426" w:leader="none"/>
          <w:tab w:val="left" w:pos="720" w:leader="none"/>
        </w:tabs>
        <w:rPr>
          <w:rFonts w:ascii="Times New Roman" w:hAnsi="Times New Roman" w:cs="Times New Roman" w:eastAsia="Times New Roman"/>
          <w:color w:val="000000"/>
          <w:sz w:val="24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***</w:t>
      </w:r>
      <w:r>
        <w:rPr>
          <w:rFonts w:ascii="Times New Roman" w:hAnsi="Times New Roman" w:cs="Times New Roman" w:eastAsia="Times New Roman"/>
          <w:sz w:val="24"/>
        </w:rPr>
      </w:r>
      <w:r/>
    </w:p>
    <w:p>
      <w:pPr>
        <w:ind w:left="0" w:right="0" w:firstLine="0"/>
        <w:jc w:val="both"/>
        <w:spacing w:before="0" w:after="0"/>
        <w:rPr>
          <w:rFonts w:ascii="Times New Roman" w:hAnsi="Times New Roman" w:cs="Times New Roman" w:eastAsia="Times New Roman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Infine, stante l’urgenza di provvedere alla approvazione dell’aggiornamento per avviare le procedure relative all’anno 2026;</w:t>
      </w:r>
      <w:r>
        <w:rPr>
          <w:rFonts w:ascii="Times New Roman" w:hAnsi="Times New Roman" w:cs="Times New Roman" w:eastAsia="Times New Roman"/>
          <w:sz w:val="24"/>
        </w:rPr>
      </w:r>
      <w:r/>
    </w:p>
    <w:p>
      <w:pPr>
        <w:ind w:left="0" w:right="0" w:firstLine="0"/>
        <w:jc w:val="both"/>
        <w:spacing w:before="0" w:after="0"/>
        <w:rPr>
          <w:rFonts w:ascii="Times New Roman" w:hAnsi="Times New Roman" w:cs="Times New Roman" w:eastAsia="Times New Roman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 </w:t>
      </w:r>
      <w:r>
        <w:rPr>
          <w:rFonts w:ascii="Times New Roman" w:hAnsi="Times New Roman" w:cs="Times New Roman" w:eastAsia="Times New Roman"/>
          <w:sz w:val="24"/>
        </w:rPr>
      </w:r>
      <w:r/>
    </w:p>
    <w:p>
      <w:pPr>
        <w:ind w:left="0" w:right="0" w:firstLine="0"/>
        <w:jc w:val="center"/>
        <w:spacing w:before="0" w:after="0"/>
        <w:rPr>
          <w:rFonts w:ascii="Times New Roman" w:hAnsi="Times New Roman" w:cs="Times New Roman" w:eastAsia="Times New Roman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b/>
          <w:color w:val="000000"/>
          <w:sz w:val="24"/>
        </w:rPr>
        <w:t xml:space="preserve">IL CONSIGLIO COMUNALE</w:t>
      </w:r>
      <w:r>
        <w:rPr>
          <w:rFonts w:ascii="Times New Roman" w:hAnsi="Times New Roman" w:cs="Times New Roman" w:eastAsia="Times New Roman"/>
          <w:sz w:val="24"/>
        </w:rPr>
      </w:r>
      <w:r/>
    </w:p>
    <w:p>
      <w:pPr>
        <w:ind w:left="0" w:right="0" w:firstLine="0"/>
        <w:jc w:val="center"/>
        <w:spacing w:before="0" w:after="0"/>
        <w:rPr>
          <w:rFonts w:ascii="Times New Roman" w:hAnsi="Times New Roman" w:cs="Times New Roman" w:eastAsia="Times New Roman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 </w:t>
      </w:r>
      <w:r>
        <w:rPr>
          <w:rFonts w:ascii="Times New Roman" w:hAnsi="Times New Roman" w:cs="Times New Roman" w:eastAsia="Times New Roman"/>
          <w:sz w:val="24"/>
        </w:rPr>
      </w:r>
      <w:r/>
    </w:p>
    <w:p>
      <w:pPr>
        <w:ind w:left="0" w:right="0" w:firstLine="0"/>
        <w:jc w:val="both"/>
        <w:spacing w:before="0" w:after="0"/>
        <w:rPr>
          <w:rFonts w:ascii="Times New Roman" w:hAnsi="Times New Roman" w:cs="Times New Roman" w:eastAsia="Times New Roman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 </w:t>
      </w:r>
      <w:r>
        <w:rPr>
          <w:rFonts w:ascii="Times New Roman" w:hAnsi="Times New Roman" w:cs="Times New Roman" w:eastAsia="Times New Roman"/>
          <w:sz w:val="24"/>
        </w:rPr>
      </w:r>
      <w:r/>
    </w:p>
    <w:p>
      <w:pPr>
        <w:ind w:left="0" w:right="0" w:firstLine="0"/>
        <w:jc w:val="both"/>
        <w:spacing w:before="0" w:after="0"/>
        <w:rPr>
          <w:rFonts w:ascii="Times New Roman" w:hAnsi="Times New Roman" w:cs="Times New Roman" w:eastAsia="Times New Roman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ab/>
        <w:tab/>
        <w:tab/>
        <w:tab/>
        <w:tab/>
        <w:tab/>
      </w:r>
      <w:r>
        <w:rPr>
          <w:rFonts w:ascii="Times New Roman" w:hAnsi="Times New Roman" w:cs="Times New Roman" w:eastAsia="Times New Roman"/>
          <w:b/>
          <w:color w:val="000000"/>
          <w:sz w:val="24"/>
        </w:rPr>
        <w:t xml:space="preserve">DELIBERA</w:t>
      </w:r>
      <w:r>
        <w:rPr>
          <w:rFonts w:ascii="Times New Roman" w:hAnsi="Times New Roman" w:cs="Times New Roman" w:eastAsia="Times New Roman"/>
          <w:sz w:val="24"/>
        </w:rPr>
      </w:r>
      <w:r/>
    </w:p>
    <w:p>
      <w:pPr>
        <w:ind w:left="0" w:right="0" w:firstLine="0"/>
        <w:jc w:val="both"/>
        <w:spacing w:before="0" w:after="0"/>
        <w:rPr>
          <w:rFonts w:ascii="Times New Roman" w:hAnsi="Times New Roman" w:cs="Times New Roman" w:eastAsia="Times New Roman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 </w:t>
      </w:r>
      <w:r>
        <w:rPr>
          <w:rFonts w:ascii="Times New Roman" w:hAnsi="Times New Roman" w:cs="Times New Roman" w:eastAsia="Times New Roman"/>
          <w:sz w:val="24"/>
        </w:rPr>
      </w:r>
      <w:r/>
    </w:p>
    <w:p>
      <w:pPr>
        <w:ind w:left="0" w:right="0" w:firstLine="0"/>
        <w:jc w:val="both"/>
        <w:spacing w:before="0" w:after="0"/>
        <w:rPr>
          <w:rFonts w:ascii="Times New Roman" w:hAnsi="Times New Roman" w:cs="Times New Roman" w:eastAsia="Times New Roman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di dichiarare la presente deliberazione immediatamente eseguibile, ai sensi dell'art. 134, comma 4 del D.Lgs. 18.8.2000 n. 267. </w:t>
      </w:r>
      <w:r>
        <w:rPr>
          <w:rFonts w:ascii="Times New Roman" w:hAnsi="Times New Roman" w:cs="Times New Roman" w:eastAsia="Times New Roman"/>
          <w:sz w:val="24"/>
        </w:rPr>
      </w:r>
      <w:r/>
    </w:p>
    <w:p>
      <w:pPr>
        <w:jc w:val="center"/>
      </w:pPr>
      <w:r>
        <w:rPr>
          <w:rFonts w:ascii="Arial" w:hAnsi="Arial" w:cs="Arial" w:eastAsia="Arial"/>
          <w:b/>
          <w:sz w:val="24"/>
          <w:highlight w:val="none"/>
        </w:rPr>
      </w:r>
      <w:r>
        <w:rPr>
          <w:rFonts w:ascii="Arial" w:hAnsi="Arial" w:cs="Arial" w:eastAsia="Arial"/>
          <w:b/>
          <w:sz w:val="24"/>
          <w:highlight w:val="none"/>
        </w:rPr>
      </w:r>
      <w:r/>
    </w:p>
    <w:p>
      <w:pPr>
        <w:jc w:val="center"/>
      </w:pPr>
      <w:r>
        <w:rPr>
          <w:rFonts w:ascii="Arial" w:hAnsi="Arial" w:cs="Arial" w:eastAsia="Arial"/>
          <w:b/>
          <w:sz w:val="24"/>
          <w:highlight w:val="none"/>
        </w:rPr>
        <w:t xml:space="preserve">***</w:t>
      </w:r>
      <w:r>
        <w:rPr>
          <w:rFonts w:ascii="Arial" w:hAnsi="Arial" w:cs="Arial" w:eastAsia="Arial"/>
          <w:b/>
          <w:sz w:val="24"/>
          <w:highlight w:val="none"/>
        </w:rPr>
      </w:r>
      <w:r/>
    </w:p>
    <w:p>
      <w:pPr>
        <w:jc w:val="left"/>
        <w:rPr>
          <w:bCs/>
          <w:i/>
          <w:sz w:val="20"/>
          <w:szCs w:val="20"/>
        </w:rPr>
      </w:pPr>
      <w:r>
        <w:rPr>
          <w:rFonts w:ascii="Arial" w:hAnsi="Arial" w:cs="Arial" w:eastAsia="Arial"/>
          <w:b/>
          <w:i/>
          <w:iCs/>
          <w:sz w:val="20"/>
          <w:szCs w:val="20"/>
          <w:highlight w:val="none"/>
        </w:rPr>
        <w:t xml:space="preserve">A</w:t>
      </w:r>
      <w:r>
        <w:rPr>
          <w:rFonts w:ascii="Arial" w:hAnsi="Arial" w:cs="Arial" w:eastAsia="Arial"/>
          <w:b/>
          <w:i/>
          <w:iCs/>
          <w:sz w:val="20"/>
          <w:szCs w:val="20"/>
          <w:highlight w:val="none"/>
        </w:rPr>
        <w:t xml:space="preserve">i sensi dell’art.35 del Regolamento del Consiglio Comunale, le sedute pubbliche del Consiglio Comunale vengono riprese e trasmesse via web e sono integralmente registrate su supporto digitale. Dette registrazioni sono consultabili attraverso il sito Intern</w:t>
      </w:r>
      <w:r>
        <w:rPr>
          <w:rFonts w:ascii="Arial" w:hAnsi="Arial" w:cs="Arial" w:eastAsia="Arial"/>
          <w:b/>
          <w:i/>
          <w:iCs/>
          <w:sz w:val="20"/>
          <w:szCs w:val="20"/>
          <w:highlight w:val="none"/>
        </w:rPr>
        <w:t xml:space="preserve">et del Comune.</w:t>
      </w:r>
      <w:r>
        <w:rPr>
          <w:bCs/>
          <w:i/>
          <w:sz w:val="20"/>
          <w:szCs w:val="20"/>
        </w:rPr>
      </w:r>
      <w:r/>
    </w:p>
    <w:p>
      <w:pPr>
        <w:jc w:val="center"/>
        <w:rPr>
          <w:rFonts w:ascii="Arial" w:hAnsi="Arial" w:cs="Arial" w:eastAsia="Arial"/>
          <w:b/>
          <w:bCs/>
          <w:sz w:val="24"/>
          <w:szCs w:val="24"/>
          <w:highlight w:val="none"/>
        </w:rPr>
      </w:pPr>
      <w:r>
        <w:rPr>
          <w:rFonts w:ascii="Arial" w:hAnsi="Arial" w:cs="Arial" w:eastAsia="Arial"/>
          <w:b/>
          <w:sz w:val="24"/>
          <w:highlight w:val="none"/>
        </w:rPr>
        <w:t xml:space="preserve">***</w:t>
      </w:r>
      <w:r>
        <w:rPr>
          <w:rFonts w:ascii="Arial" w:hAnsi="Arial" w:cs="Arial" w:eastAsia="Arial"/>
          <w:b/>
          <w:bCs/>
          <w:sz w:val="24"/>
          <w:szCs w:val="24"/>
          <w:highlight w:val="none"/>
        </w:rPr>
      </w:r>
      <w:r/>
    </w:p>
    <w:sectPr>
      <w:headerReference w:type="default" r:id="rId9"/>
      <w:footerReference w:type="default" r:id="rId10"/>
      <w:footnotePr/>
      <w:endnotePr/>
      <w:type w:val="nextPage"/>
      <w:pgSz w:w="11906" w:h="16838" w:orient="portrait"/>
      <w:pgMar w:top="1134" w:right="1134" w:bottom="1134" w:left="1134" w:header="0" w:footer="0" w:gutter="0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Times New Roman">
    <w:panose1 w:val="02020603050405020304"/>
  </w:font>
  <w:font w:name="Wingdings">
    <w:panose1 w:val="05010000000000000000"/>
  </w:font>
  <w:font w:name="Symbol">
    <w:panose1 w:val="05010000000000000000"/>
  </w:font>
  <w:font w:name="Arial">
    <w:panose1 w:val="020B0604020202020204"/>
  </w:font>
  <w:font w:name="SimSun">
    <w:panose1 w:val="02020603020101020101"/>
  </w:font>
  <w:font w:name="Courier New">
    <w:panose1 w:val="02070309020205020404"/>
  </w:font>
  <w:font w:name="Mangal">
    <w:panose1 w:val="02020603050405020304"/>
  </w:font>
  <w:font w:name="Liberation Serif">
    <w:panose1 w:val="02020603050405020304"/>
  </w:font>
  <w:font w:name="Calibri">
    <w:panose1 w:val="020F0502020204030204"/>
  </w:font>
  <w:font w:name="Cambria">
    <w:panose1 w:val="020206030504050203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ind w:left="0" w:right="0" w:firstLine="0"/>
      <w:jc w:val="center"/>
      <w:spacing w:before="0" w:after="0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</w:pBdr>
    </w:pPr>
    <w:r>
      <w:rPr>
        <w:rFonts w:ascii="Arial" w:hAnsi="Arial" w:cs="Arial" w:eastAsia="Arial"/>
        <w:color w:val="000000"/>
        <w:sz w:val="18"/>
        <w:highlight w:val="none"/>
      </w:rPr>
    </w:r>
    <w:r/>
  </w:p>
  <w:p>
    <w:pPr>
      <w:ind w:left="0" w:right="0" w:firstLine="0"/>
      <w:jc w:val="left"/>
      <w:spacing w:before="0" w:after="0"/>
      <w:rPr>
        <w:rFonts w:ascii="Arial" w:hAnsi="Arial" w:cs="Arial" w:eastAsia="Arial"/>
        <w:color w:val="000000"/>
        <w:highlight w:val="none"/>
      </w:r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</w:pBdr>
    </w:pPr>
    <w:r>
      <w:rPr>
        <w:rFonts w:ascii="Arial" w:hAnsi="Arial" w:cs="Arial" w:eastAsia="Arial"/>
        <w:color w:val="000000"/>
        <w:sz w:val="18"/>
      </w:rPr>
      <w:t xml:space="preserve">Proposta di </w:t>
    </w:r>
    <w:r>
      <w:rPr>
        <w:rFonts w:ascii="Arial" w:hAnsi="Arial" w:cs="Arial" w:eastAsia="Arial"/>
        <w:color w:val="000000"/>
        <w:sz w:val="18"/>
      </w:rPr>
      <w:t xml:space="preserve">Delibera di Consiglio</w:t>
    </w:r>
    <w:r>
      <w:rPr>
        <w:rFonts w:ascii="Arial" w:hAnsi="Arial" w:cs="Arial" w:eastAsia="Arial"/>
        <w:color w:val="000000"/>
        <w:sz w:val="18"/>
      </w:rPr>
      <w:t xml:space="preserve"> n. 855 del 19/07/2026</w:t>
    </w:r>
    <w:r>
      <w:rPr>
        <w:rFonts w:ascii="Arial" w:hAnsi="Arial" w:cs="Arial" w:eastAsia="Arial"/>
        <w:color w:val="000000"/>
        <w:highlight w:val="none"/>
      </w:rPr>
    </w:r>
    <w:r/>
  </w:p>
  <w:p>
    <w:pPr>
      <w:pStyle w:val="740"/>
      <w:jc w:val="right"/>
      <w:rPr>
        <w:rFonts w:ascii="Arial" w:hAnsi="Arial" w:cs="Arial" w:eastAsia="Arial"/>
        <w:highlight w:val="none"/>
      </w:rPr>
    </w:pPr>
    <w:r>
      <w:rPr>
        <w:rFonts w:ascii="Arial" w:hAnsi="Arial" w:cs="Arial" w:eastAsia="Arial"/>
        <w:sz w:val="18"/>
      </w:rPr>
      <w:t xml:space="preserve">Pag. </w:t>
    </w:r>
    <w:fldSimple w:instr="PAGE \* MERGEFORMAT">
      <w:r>
        <w:rPr>
          <w:rFonts w:ascii="Arial" w:hAnsi="Arial" w:cs="Arial" w:eastAsia="Arial"/>
          <w:sz w:val="18"/>
        </w:rPr>
        <w:t xml:space="preserve">1</w:t>
      </w:r>
    </w:fldSimple>
    <w:r>
      <w:rPr>
        <w:rFonts w:ascii="Arial" w:hAnsi="Arial" w:cs="Arial" w:eastAsia="Arial"/>
        <w:sz w:val="18"/>
      </w:rPr>
    </w:r>
    <w:r>
      <w:rPr>
        <w:rFonts w:ascii="Arial" w:hAnsi="Arial" w:cs="Arial" w:eastAsia="Arial"/>
        <w:highlight w:val="none"/>
      </w:rPr>
    </w:r>
    <w:r/>
  </w:p>
  <w:p>
    <w:r/>
    <w:r/>
  </w:p>
  <w:p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38"/>
    </w:pPr>
    <w:r/>
    <w:r/>
  </w:p>
  <w:p>
    <w:r>
      <w:rPr>
        <w:rFonts w:ascii="Times New Roman" w:hAnsi="Times New Roman" w:cs="Times New Roman" w:eastAsia="Times New Roman"/>
        <w:lang w:bidi="ar-SA" w:eastAsia="it-IT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251659264" behindDoc="0" locked="0" layoutInCell="1" allowOverlap="1">
              <wp:simplePos x="0" y="0"/>
              <wp:positionH relativeFrom="column">
                <wp:posOffset>-226695</wp:posOffset>
              </wp:positionH>
              <wp:positionV relativeFrom="paragraph">
                <wp:posOffset>-144145</wp:posOffset>
              </wp:positionV>
              <wp:extent cx="1444625" cy="1776730"/>
              <wp:effectExtent l="0" t="0" r="0" b="0"/>
              <wp:wrapNone/>
              <wp:docPr id="1" name="Immagine 1" descr="logo1" hidden="0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96180020" name="Immagine 1" descr="logo1" hidden="0"/>
                      <pic:cNvPicPr>
                        <a:picLocks noChangeAspect="1"/>
                      </pic:cNvPicPr>
                      <pic:nvPr isPhoto="0" userDrawn="0"/>
                    </pic:nvPicPr>
                    <pic:blipFill>
                      <a:blip r:embed="rId1"/>
                      <a:stretch/>
                    </pic:blipFill>
                    <pic:spPr bwMode="auto">
                      <a:xfrm rot="0" flipH="0" flipV="0">
                        <a:off x="0" y="0"/>
                        <a:ext cx="1444624" cy="1776729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anchor>
          </w:drawing>
        </mc:Choice>
        <mc:Fallback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0" o:spid="_x0000_s0" type="#_x0000_t75" style="position:absolute;mso-wrap-distance-left:9.0pt;mso-wrap-distance-top:0.0pt;mso-wrap-distance-right:9.0pt;mso-wrap-distance-bottom:0.0pt;z-index:251659264;o:allowoverlap:true;o:allowincell:true;mso-position-horizontal-relative:text;margin-left:-17.8pt;mso-position-horizontal:absolute;mso-position-vertical-relative:text;margin-top:-11.3pt;mso-position-vertical:absolute;width:113.8pt;height:139.9pt;rotation:0;" stroked="false">
              <v:path textboxrect="0,0,0,0"/>
              <v:imagedata r:id="rId1" o:title=""/>
            </v:shape>
          </w:pict>
        </mc:Fallback>
      </mc:AlternateContent>
    </w:r>
    <w:r/>
  </w:p>
  <w:p>
    <w:pPr>
      <w:pStyle w:val="781"/>
    </w:pPr>
    <w:r/>
    <w:r/>
  </w:p>
  <w:p>
    <w:r/>
    <w:r/>
  </w:p>
  <w:p>
    <w:r/>
    <w:r/>
  </w:p>
  <w:p>
    <w:r/>
    <w:r/>
  </w:p>
  <w:p>
    <w:r/>
    <w:r/>
  </w:p>
  <w:p>
    <w:r/>
    <w:r/>
  </w:p>
  <w:p>
    <w:r/>
    <w:r/>
  </w:p>
  <w:p>
    <w:r/>
    <w:r/>
  </w:p>
  <w:p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427" w:hanging="360"/>
      </w:pPr>
      <w:rPr>
        <w:rFonts w:ascii="Symbol" w:hAnsi="Symbol" w:cs="Symbol" w:eastAsia="Symbol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2147" w:hanging="360"/>
      </w:pPr>
      <w:rPr>
        <w:rFonts w:ascii="Courier New" w:hAnsi="Courier New" w:cs="Courier New" w:eastAsia="Courier New" w:hint="default"/>
      </w:rPr>
    </w:lvl>
    <w:lvl w:ilvl="2">
      <w:start w:val="1"/>
      <w:numFmt w:val="bullet"/>
      <w:isLgl w:val="false"/>
      <w:suff w:val="tab"/>
      <w:lvlText w:val=""/>
      <w:lvlJc w:val="left"/>
      <w:pPr>
        <w:ind w:left="2867" w:hanging="360"/>
      </w:pPr>
      <w:rPr>
        <w:rFonts w:ascii="Wingdings" w:hAnsi="Wingdings" w:cs="Wingdings" w:eastAsia="Wingdings" w:hint="default"/>
      </w:rPr>
    </w:lvl>
    <w:lvl w:ilvl="3">
      <w:start w:val="1"/>
      <w:numFmt w:val="bullet"/>
      <w:isLgl w:val="false"/>
      <w:suff w:val="tab"/>
      <w:lvlText w:val=""/>
      <w:lvlJc w:val="left"/>
      <w:pPr>
        <w:ind w:left="3587" w:hanging="360"/>
      </w:pPr>
      <w:rPr>
        <w:rFonts w:ascii="Symbol" w:hAnsi="Symbol" w:cs="Symbol" w:eastAsia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4307" w:hanging="360"/>
      </w:pPr>
      <w:rPr>
        <w:rFonts w:ascii="Courier New" w:hAnsi="Courier New" w:cs="Courier New" w:eastAsia="Courier New" w:hint="default"/>
      </w:rPr>
    </w:lvl>
    <w:lvl w:ilvl="5">
      <w:start w:val="1"/>
      <w:numFmt w:val="bullet"/>
      <w:isLgl w:val="false"/>
      <w:suff w:val="tab"/>
      <w:lvlText w:val=""/>
      <w:lvlJc w:val="left"/>
      <w:pPr>
        <w:ind w:left="5027" w:hanging="360"/>
      </w:pPr>
      <w:rPr>
        <w:rFonts w:ascii="Wingdings" w:hAnsi="Wingdings" w:cs="Wingdings" w:eastAsia="Wingdings" w:hint="default"/>
      </w:rPr>
    </w:lvl>
    <w:lvl w:ilvl="6">
      <w:start w:val="1"/>
      <w:numFmt w:val="bullet"/>
      <w:isLgl w:val="false"/>
      <w:suff w:val="tab"/>
      <w:lvlText w:val=""/>
      <w:lvlJc w:val="left"/>
      <w:pPr>
        <w:ind w:left="5747" w:hanging="360"/>
      </w:pPr>
      <w:rPr>
        <w:rFonts w:ascii="Symbol" w:hAnsi="Symbol" w:cs="Symbol" w:eastAsia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6467" w:hanging="360"/>
      </w:pPr>
      <w:rPr>
        <w:rFonts w:ascii="Courier New" w:hAnsi="Courier New" w:cs="Courier New" w:eastAsia="Courier New" w:hint="default"/>
      </w:rPr>
    </w:lvl>
    <w:lvl w:ilvl="8">
      <w:start w:val="1"/>
      <w:numFmt w:val="bullet"/>
      <w:isLgl w:val="false"/>
      <w:suff w:val="tab"/>
      <w:lvlText w:val=""/>
      <w:lvlJc w:val="left"/>
      <w:pPr>
        <w:ind w:left="7187" w:hanging="360"/>
      </w:pPr>
      <w:rPr>
        <w:rFonts w:ascii="Wingdings" w:hAnsi="Wingdings" w:cs="Wingdings" w:eastAsia="Wingdings" w:hint="default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427" w:hanging="360"/>
      </w:pPr>
      <w:rPr>
        <w:rFonts w:ascii="Symbol" w:hAnsi="Symbol" w:cs="Symbol" w:eastAsia="Symbol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2147" w:hanging="360"/>
      </w:pPr>
      <w:rPr>
        <w:rFonts w:ascii="Courier New" w:hAnsi="Courier New" w:cs="Courier New" w:eastAsia="Courier New" w:hint="default"/>
      </w:rPr>
    </w:lvl>
    <w:lvl w:ilvl="2">
      <w:start w:val="1"/>
      <w:numFmt w:val="bullet"/>
      <w:isLgl w:val="false"/>
      <w:suff w:val="tab"/>
      <w:lvlText w:val=""/>
      <w:lvlJc w:val="left"/>
      <w:pPr>
        <w:ind w:left="2867" w:hanging="360"/>
      </w:pPr>
      <w:rPr>
        <w:rFonts w:ascii="Wingdings" w:hAnsi="Wingdings" w:cs="Wingdings" w:eastAsia="Wingdings" w:hint="default"/>
      </w:rPr>
    </w:lvl>
    <w:lvl w:ilvl="3">
      <w:start w:val="1"/>
      <w:numFmt w:val="bullet"/>
      <w:isLgl w:val="false"/>
      <w:suff w:val="tab"/>
      <w:lvlText w:val=""/>
      <w:lvlJc w:val="left"/>
      <w:pPr>
        <w:ind w:left="3587" w:hanging="360"/>
      </w:pPr>
      <w:rPr>
        <w:rFonts w:ascii="Symbol" w:hAnsi="Symbol" w:cs="Symbol" w:eastAsia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4307" w:hanging="360"/>
      </w:pPr>
      <w:rPr>
        <w:rFonts w:ascii="Courier New" w:hAnsi="Courier New" w:cs="Courier New" w:eastAsia="Courier New" w:hint="default"/>
      </w:rPr>
    </w:lvl>
    <w:lvl w:ilvl="5">
      <w:start w:val="1"/>
      <w:numFmt w:val="bullet"/>
      <w:isLgl w:val="false"/>
      <w:suff w:val="tab"/>
      <w:lvlText w:val=""/>
      <w:lvlJc w:val="left"/>
      <w:pPr>
        <w:ind w:left="5027" w:hanging="360"/>
      </w:pPr>
      <w:rPr>
        <w:rFonts w:ascii="Wingdings" w:hAnsi="Wingdings" w:cs="Wingdings" w:eastAsia="Wingdings" w:hint="default"/>
      </w:rPr>
    </w:lvl>
    <w:lvl w:ilvl="6">
      <w:start w:val="1"/>
      <w:numFmt w:val="bullet"/>
      <w:isLgl w:val="false"/>
      <w:suff w:val="tab"/>
      <w:lvlText w:val=""/>
      <w:lvlJc w:val="left"/>
      <w:pPr>
        <w:ind w:left="5747" w:hanging="360"/>
      </w:pPr>
      <w:rPr>
        <w:rFonts w:ascii="Symbol" w:hAnsi="Symbol" w:cs="Symbol" w:eastAsia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6467" w:hanging="360"/>
      </w:pPr>
      <w:rPr>
        <w:rFonts w:ascii="Courier New" w:hAnsi="Courier New" w:cs="Courier New" w:eastAsia="Courier New" w:hint="default"/>
      </w:rPr>
    </w:lvl>
    <w:lvl w:ilvl="8">
      <w:start w:val="1"/>
      <w:numFmt w:val="bullet"/>
      <w:isLgl w:val="false"/>
      <w:suff w:val="tab"/>
      <w:lvlText w:val=""/>
      <w:lvlJc w:val="left"/>
      <w:pPr>
        <w:ind w:left="7187" w:hanging="360"/>
      </w:pPr>
      <w:rPr>
        <w:rFonts w:ascii="Wingdings" w:hAnsi="Wingdings" w:cs="Wingdings" w:eastAsia="Wingdings" w:hint="default"/>
      </w:r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eastAsia="Courier New" w:hint="default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ascii="Wingdings" w:hAnsi="Wingdings" w:cs="Wingdings" w:eastAsia="Wingdings" w:hint="default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ascii="Symbol" w:hAnsi="Symbol" w:cs="Symbol" w:eastAsia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eastAsia="Courier New" w:hint="default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ascii="Wingdings" w:hAnsi="Wingdings" w:cs="Wingdings" w:eastAsia="Wingdings" w:hint="default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ascii="Symbol" w:hAnsi="Symbol" w:cs="Symbol" w:eastAsia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eastAsia="Courier New" w:hint="default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ascii="Wingdings" w:hAnsi="Wingdings" w:cs="Wingdings" w:eastAsia="Wingdings" w:hint="default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20" w:hanging="360"/>
      </w:pPr>
      <w:rPr>
        <w:rFonts w:ascii="Arial" w:hAnsi="Arial" w:cs="Arial" w:eastAsia="Arial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eastAsia="Courier New" w:hint="default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ascii="Wingdings" w:hAnsi="Wingdings" w:cs="Wingdings" w:eastAsia="Wingdings" w:hint="default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ascii="Symbol" w:hAnsi="Symbol" w:cs="Symbol" w:eastAsia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eastAsia="Courier New" w:hint="default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ascii="Wingdings" w:hAnsi="Wingdings" w:cs="Wingdings" w:eastAsia="Wingdings" w:hint="default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ascii="Symbol" w:hAnsi="Symbol" w:cs="Symbol" w:eastAsia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eastAsia="Courier New" w:hint="default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ascii="Wingdings" w:hAnsi="Wingdings" w:cs="Wingdings" w:eastAsia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9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eastAsia="zh-CN"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hAnsi="Liberation Serif" w:cs="Mangal" w:eastAsia="SimSun" w:hint="default"/>
        <w:sz w:val="24"/>
        <w:szCs w:val="24"/>
        <w:lang w:val="it-IT" w:bidi="hi-IN" w:eastAsia="zh-CN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8">
    <w:name w:val="Normal"/>
    <w:qFormat/>
  </w:style>
  <w:style w:type="character" w:styleId="9">
    <w:name w:val="Default Paragraph Font"/>
    <w:uiPriority w:val="1"/>
    <w:semiHidden/>
    <w:unhideWhenUsed/>
  </w:style>
  <w:style w:type="numbering" w:styleId="10">
    <w:name w:val="No List"/>
    <w:uiPriority w:val="99"/>
    <w:semiHidden/>
    <w:unhideWhenUsed/>
  </w:style>
  <w:style w:type="paragraph" w:styleId="11">
    <w:name w:val="Heading 1"/>
    <w:basedOn w:val="8"/>
    <w:next w:val="8"/>
    <w:link w:val="12"/>
    <w:uiPriority w:val="9"/>
    <w:qFormat/>
    <w:pPr>
      <w:keepLines/>
      <w:keepNext/>
      <w:spacing w:before="480" w:after="200"/>
      <w:outlineLvl w:val="0"/>
    </w:pPr>
    <w:rPr>
      <w:rFonts w:ascii="Arial" w:hAnsi="Arial" w:cs="Arial" w:eastAsia="Arial"/>
      <w:sz w:val="40"/>
      <w:szCs w:val="40"/>
    </w:rPr>
  </w:style>
  <w:style w:type="character" w:styleId="12">
    <w:name w:val="Heading 1 Char"/>
    <w:basedOn w:val="9"/>
    <w:link w:val="11"/>
    <w:uiPriority w:val="9"/>
    <w:rPr>
      <w:rFonts w:ascii="Arial" w:hAnsi="Arial" w:cs="Arial" w:eastAsia="Arial"/>
      <w:sz w:val="40"/>
      <w:szCs w:val="40"/>
    </w:rPr>
  </w:style>
  <w:style w:type="paragraph" w:styleId="13">
    <w:name w:val="Heading 2"/>
    <w:basedOn w:val="8"/>
    <w:next w:val="8"/>
    <w:link w:val="14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cs="Arial" w:eastAsia="Arial"/>
      <w:sz w:val="34"/>
    </w:rPr>
  </w:style>
  <w:style w:type="character" w:styleId="14">
    <w:name w:val="Heading 2 Char"/>
    <w:basedOn w:val="9"/>
    <w:link w:val="13"/>
    <w:uiPriority w:val="9"/>
    <w:rPr>
      <w:rFonts w:ascii="Arial" w:hAnsi="Arial" w:cs="Arial" w:eastAsia="Arial"/>
      <w:sz w:val="34"/>
    </w:rPr>
  </w:style>
  <w:style w:type="paragraph" w:styleId="15">
    <w:name w:val="Heading 3"/>
    <w:basedOn w:val="8"/>
    <w:next w:val="8"/>
    <w:link w:val="16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cs="Arial" w:eastAsia="Arial"/>
      <w:sz w:val="30"/>
      <w:szCs w:val="30"/>
    </w:rPr>
  </w:style>
  <w:style w:type="character" w:styleId="16">
    <w:name w:val="Heading 3 Char"/>
    <w:basedOn w:val="9"/>
    <w:link w:val="15"/>
    <w:uiPriority w:val="9"/>
    <w:rPr>
      <w:rFonts w:ascii="Arial" w:hAnsi="Arial" w:cs="Arial" w:eastAsia="Arial"/>
      <w:sz w:val="30"/>
      <w:szCs w:val="30"/>
    </w:rPr>
  </w:style>
  <w:style w:type="paragraph" w:styleId="17">
    <w:name w:val="Heading 4"/>
    <w:basedOn w:val="8"/>
    <w:next w:val="8"/>
    <w:link w:val="18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cs="Arial" w:eastAsia="Arial"/>
      <w:b/>
      <w:bCs/>
      <w:sz w:val="26"/>
      <w:szCs w:val="26"/>
    </w:rPr>
  </w:style>
  <w:style w:type="character" w:styleId="18">
    <w:name w:val="Heading 4 Char"/>
    <w:basedOn w:val="9"/>
    <w:link w:val="17"/>
    <w:uiPriority w:val="9"/>
    <w:rPr>
      <w:rFonts w:ascii="Arial" w:hAnsi="Arial" w:cs="Arial" w:eastAsia="Arial"/>
      <w:b/>
      <w:bCs/>
      <w:sz w:val="26"/>
      <w:szCs w:val="26"/>
    </w:rPr>
  </w:style>
  <w:style w:type="paragraph" w:styleId="19">
    <w:name w:val="Heading 5"/>
    <w:basedOn w:val="8"/>
    <w:next w:val="8"/>
    <w:link w:val="20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cs="Arial" w:eastAsia="Arial"/>
      <w:b/>
      <w:bCs/>
      <w:sz w:val="24"/>
      <w:szCs w:val="24"/>
    </w:rPr>
  </w:style>
  <w:style w:type="character" w:styleId="20">
    <w:name w:val="Heading 5 Char"/>
    <w:basedOn w:val="9"/>
    <w:link w:val="19"/>
    <w:uiPriority w:val="9"/>
    <w:rPr>
      <w:rFonts w:ascii="Arial" w:hAnsi="Arial" w:cs="Arial" w:eastAsia="Arial"/>
      <w:b/>
      <w:bCs/>
      <w:sz w:val="24"/>
      <w:szCs w:val="24"/>
    </w:rPr>
  </w:style>
  <w:style w:type="paragraph" w:styleId="21">
    <w:name w:val="Heading 6"/>
    <w:basedOn w:val="8"/>
    <w:next w:val="8"/>
    <w:link w:val="22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cs="Arial" w:eastAsia="Arial"/>
      <w:b/>
      <w:bCs/>
      <w:sz w:val="22"/>
      <w:szCs w:val="22"/>
    </w:rPr>
  </w:style>
  <w:style w:type="character" w:styleId="22">
    <w:name w:val="Heading 6 Char"/>
    <w:basedOn w:val="9"/>
    <w:link w:val="21"/>
    <w:uiPriority w:val="9"/>
    <w:rPr>
      <w:rFonts w:ascii="Arial" w:hAnsi="Arial" w:cs="Arial" w:eastAsia="Arial"/>
      <w:b/>
      <w:bCs/>
      <w:sz w:val="22"/>
      <w:szCs w:val="22"/>
    </w:rPr>
  </w:style>
  <w:style w:type="paragraph" w:styleId="23">
    <w:name w:val="Heading 7"/>
    <w:basedOn w:val="8"/>
    <w:next w:val="8"/>
    <w:link w:val="24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cs="Arial" w:eastAsia="Arial"/>
      <w:b/>
      <w:bCs/>
      <w:i/>
      <w:iCs/>
      <w:sz w:val="22"/>
      <w:szCs w:val="22"/>
    </w:rPr>
  </w:style>
  <w:style w:type="character" w:styleId="24">
    <w:name w:val="Heading 7 Char"/>
    <w:basedOn w:val="9"/>
    <w:link w:val="23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paragraph" w:styleId="25">
    <w:name w:val="Heading 8"/>
    <w:basedOn w:val="8"/>
    <w:next w:val="8"/>
    <w:link w:val="26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cs="Arial" w:eastAsia="Arial"/>
      <w:i/>
      <w:iCs/>
      <w:sz w:val="22"/>
      <w:szCs w:val="22"/>
    </w:rPr>
  </w:style>
  <w:style w:type="character" w:styleId="26">
    <w:name w:val="Heading 8 Char"/>
    <w:basedOn w:val="9"/>
    <w:link w:val="25"/>
    <w:uiPriority w:val="9"/>
    <w:rPr>
      <w:rFonts w:ascii="Arial" w:hAnsi="Arial" w:cs="Arial" w:eastAsia="Arial"/>
      <w:i/>
      <w:iCs/>
      <w:sz w:val="22"/>
      <w:szCs w:val="22"/>
    </w:rPr>
  </w:style>
  <w:style w:type="paragraph" w:styleId="27">
    <w:name w:val="Heading 9"/>
    <w:basedOn w:val="8"/>
    <w:next w:val="8"/>
    <w:link w:val="28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cs="Arial" w:eastAsia="Arial"/>
      <w:i/>
      <w:iCs/>
      <w:sz w:val="21"/>
      <w:szCs w:val="21"/>
    </w:rPr>
  </w:style>
  <w:style w:type="character" w:styleId="28">
    <w:name w:val="Heading 9 Char"/>
    <w:basedOn w:val="9"/>
    <w:link w:val="27"/>
    <w:uiPriority w:val="9"/>
    <w:rPr>
      <w:rFonts w:ascii="Arial" w:hAnsi="Arial" w:cs="Arial" w:eastAsia="Arial"/>
      <w:i/>
      <w:iCs/>
      <w:sz w:val="21"/>
      <w:szCs w:val="21"/>
    </w:rPr>
  </w:style>
  <w:style w:type="paragraph" w:styleId="29">
    <w:name w:val="List Paragraph"/>
    <w:basedOn w:val="8"/>
    <w:uiPriority w:val="34"/>
    <w:qFormat/>
    <w:pPr>
      <w:contextualSpacing/>
      <w:ind w:left="720"/>
    </w:pPr>
  </w:style>
  <w:style w:type="table" w:styleId="30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paragraph" w:styleId="31">
    <w:name w:val="No Spacing"/>
    <w:uiPriority w:val="1"/>
    <w:qFormat/>
    <w:pPr>
      <w:spacing w:before="0" w:after="0" w:line="240" w:lineRule="auto"/>
    </w:pPr>
  </w:style>
  <w:style w:type="paragraph" w:styleId="32">
    <w:name w:val="Title"/>
    <w:basedOn w:val="8"/>
    <w:next w:val="8"/>
    <w:link w:val="33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3">
    <w:name w:val="Title Char"/>
    <w:basedOn w:val="9"/>
    <w:link w:val="32"/>
    <w:uiPriority w:val="10"/>
    <w:rPr>
      <w:sz w:val="48"/>
      <w:szCs w:val="48"/>
    </w:rPr>
  </w:style>
  <w:style w:type="paragraph" w:styleId="34">
    <w:name w:val="Subtitle"/>
    <w:basedOn w:val="8"/>
    <w:next w:val="8"/>
    <w:link w:val="35"/>
    <w:uiPriority w:val="11"/>
    <w:qFormat/>
    <w:pPr>
      <w:spacing w:before="200" w:after="200"/>
    </w:pPr>
    <w:rPr>
      <w:sz w:val="24"/>
      <w:szCs w:val="24"/>
    </w:rPr>
  </w:style>
  <w:style w:type="character" w:styleId="35">
    <w:name w:val="Subtitle Char"/>
    <w:basedOn w:val="9"/>
    <w:link w:val="34"/>
    <w:uiPriority w:val="11"/>
    <w:rPr>
      <w:sz w:val="24"/>
      <w:szCs w:val="24"/>
    </w:rPr>
  </w:style>
  <w:style w:type="paragraph" w:styleId="36">
    <w:name w:val="Quote"/>
    <w:basedOn w:val="8"/>
    <w:next w:val="8"/>
    <w:link w:val="37"/>
    <w:uiPriority w:val="29"/>
    <w:qFormat/>
    <w:pPr>
      <w:ind w:left="720" w:right="720"/>
    </w:pPr>
    <w:rPr>
      <w:i/>
    </w:rPr>
  </w:style>
  <w:style w:type="character" w:styleId="37">
    <w:name w:val="Quote Char"/>
    <w:link w:val="36"/>
    <w:uiPriority w:val="29"/>
    <w:rPr>
      <w:i/>
    </w:rPr>
  </w:style>
  <w:style w:type="paragraph" w:styleId="38">
    <w:name w:val="Intense Quote"/>
    <w:basedOn w:val="8"/>
    <w:next w:val="8"/>
    <w:link w:val="39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39">
    <w:name w:val="Intense Quote Char"/>
    <w:link w:val="38"/>
    <w:uiPriority w:val="30"/>
    <w:rPr>
      <w:i/>
    </w:rPr>
  </w:style>
  <w:style w:type="paragraph" w:styleId="40">
    <w:name w:val="Header"/>
    <w:basedOn w:val="8"/>
    <w:link w:val="41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1">
    <w:name w:val="Header Char"/>
    <w:basedOn w:val="9"/>
    <w:link w:val="40"/>
    <w:uiPriority w:val="99"/>
  </w:style>
  <w:style w:type="paragraph" w:styleId="42">
    <w:name w:val="Footer"/>
    <w:basedOn w:val="8"/>
    <w:link w:val="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Footer Char"/>
    <w:basedOn w:val="9"/>
    <w:link w:val="42"/>
    <w:uiPriority w:val="99"/>
  </w:style>
  <w:style w:type="paragraph" w:styleId="44">
    <w:name w:val="Caption"/>
    <w:basedOn w:val="8"/>
    <w:next w:val="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5">
    <w:name w:val="Caption Char"/>
    <w:basedOn w:val="44"/>
    <w:link w:val="42"/>
    <w:uiPriority w:val="99"/>
  </w:style>
  <w:style w:type="table" w:styleId="46">
    <w:name w:val="Table Grid"/>
    <w:basedOn w:val="30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7">
    <w:name w:val="Table Grid Light"/>
    <w:basedOn w:val="3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8">
    <w:name w:val="Plain Table 1"/>
    <w:basedOn w:val="3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49">
    <w:name w:val="Plain Table 2"/>
    <w:basedOn w:val="30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0">
    <w:name w:val="Plain Table 3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1">
    <w:name w:val="Plain Table 4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">
    <w:name w:val="Plain Table 5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3">
    <w:name w:val="Grid Table 1 Light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Grid Table 1 Light - Accent 1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Grid Table 1 Light - Accent 2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3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4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5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6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2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1">
    <w:name w:val="Grid Table 2 - Accent 1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2">
    <w:name w:val="Grid Table 2 - Accent 2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3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4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5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6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3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3 - Accent 1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 - Accent 2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3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4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5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6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4"/>
    <w:basedOn w:val="3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5">
    <w:name w:val="Grid Table 4 - Accent 1"/>
    <w:basedOn w:val="3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6">
    <w:name w:val="Grid Table 4 - Accent 2"/>
    <w:basedOn w:val="3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7">
    <w:name w:val="Grid Table 4 - Accent 3"/>
    <w:basedOn w:val="3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8">
    <w:name w:val="Grid Table 4 - Accent 4"/>
    <w:basedOn w:val="3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9">
    <w:name w:val="Grid Table 4 - Accent 5"/>
    <w:basedOn w:val="3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0">
    <w:name w:val="Grid Table 4 - Accent 6"/>
    <w:basedOn w:val="3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1">
    <w:name w:val="Grid Table 5 Dark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2">
    <w:name w:val="Grid Table 5 Dark- Accent 1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3">
    <w:name w:val="Grid Table 5 Dark - Accent 2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4">
    <w:name w:val="Grid Table 5 Dark - Accent 3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5">
    <w:name w:val="Grid Table 5 Dark- Accent 4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5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6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88">
    <w:name w:val="Grid Table 6 Colorful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9">
    <w:name w:val="Grid Table 6 Colorful - Accent 1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0">
    <w:name w:val="Grid Table 6 Colorful - Accent 2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1">
    <w:name w:val="Grid Table 6 Colorful - Accent 3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2">
    <w:name w:val="Grid Table 6 Colorful - Accent 4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3">
    <w:name w:val="Grid Table 6 Colorful - Accent 5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4">
    <w:name w:val="Grid Table 6 Colorful - Accent 6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5">
    <w:name w:val="Grid Table 7 Colorful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6">
    <w:name w:val="Grid Table 7 Colorful - Accent 1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7">
    <w:name w:val="Grid Table 7 Colorful - Accent 2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3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4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5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6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2">
    <w:name w:val="List Table 1 Light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3">
    <w:name w:val="List Table 1 Light - Accent 1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4">
    <w:name w:val="List Table 1 Light - Accent 2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3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4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5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6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2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0">
    <w:name w:val="List Table 2 - Accent 1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1">
    <w:name w:val="List Table 2 - Accent 2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2">
    <w:name w:val="List Table 2 - Accent 3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3">
    <w:name w:val="List Table 2 - Accent 4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4">
    <w:name w:val="List Table 2 - Accent 5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5">
    <w:name w:val="List Table 2 - Accent 6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6">
    <w:name w:val="List Table 3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7">
    <w:name w:val="List Table 3 - Accent 1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8">
    <w:name w:val="List Table 3 - Accent 2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3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4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5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6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4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4 - Accent 1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 - Accent 2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3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4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5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6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5 Dark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1">
    <w:name w:val="List Table 5 Dark - Accent 1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2">
    <w:name w:val="List Table 5 Dark - Accent 2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3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4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5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6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6 Colorful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38">
    <w:name w:val="List Table 6 Colorful - Accent 1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39">
    <w:name w:val="List Table 6 Colorful - Accent 2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0">
    <w:name w:val="List Table 6 Colorful - Accent 3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1">
    <w:name w:val="List Table 6 Colorful - Accent 4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2">
    <w:name w:val="List Table 6 Colorful - Accent 5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3">
    <w:name w:val="List Table 6 Colorful - Accent 6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4">
    <w:name w:val="List Table 7 Colorful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5">
    <w:name w:val="List Table 7 Colorful - Accent 1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6">
    <w:name w:val="List Table 7 Colorful - Accent 2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7">
    <w:name w:val="List Table 7 Colorful - Accent 3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48">
    <w:name w:val="List Table 7 Colorful - Accent 4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49">
    <w:name w:val="List Table 7 Colorful - Accent 5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0">
    <w:name w:val="List Table 7 Colorful - Accent 6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1">
    <w:name w:val="Lined - Accent"/>
    <w:basedOn w:val="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2">
    <w:name w:val="Lined - Accent 1"/>
    <w:basedOn w:val="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3">
    <w:name w:val="Lined - Accent 2"/>
    <w:basedOn w:val="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4">
    <w:name w:val="Lined - Accent 3"/>
    <w:basedOn w:val="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5">
    <w:name w:val="Lined - Accent 4"/>
    <w:basedOn w:val="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6">
    <w:name w:val="Lined - Accent 5"/>
    <w:basedOn w:val="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7">
    <w:name w:val="Lined - Accent 6"/>
    <w:basedOn w:val="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58">
    <w:name w:val="Bordered &amp; Lined - Accent"/>
    <w:basedOn w:val="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9">
    <w:name w:val="Bordered &amp; Lined - Accent 1"/>
    <w:basedOn w:val="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0">
    <w:name w:val="Bordered &amp; Lined - Accent 2"/>
    <w:basedOn w:val="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1">
    <w:name w:val="Bordered &amp; Lined - Accent 3"/>
    <w:basedOn w:val="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2">
    <w:name w:val="Bordered &amp; Lined - Accent 4"/>
    <w:basedOn w:val="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3">
    <w:name w:val="Bordered &amp; Lined - Accent 5"/>
    <w:basedOn w:val="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4">
    <w:name w:val="Bordered &amp; Lined - Accent 6"/>
    <w:basedOn w:val="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5">
    <w:name w:val="Bordered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6">
    <w:name w:val="Bordered - Accent 1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7">
    <w:name w:val="Bordered - Accent 2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68">
    <w:name w:val="Bordered - Accent 3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69">
    <w:name w:val="Bordered - Accent 4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0">
    <w:name w:val="Bordered - Accent 5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1">
    <w:name w:val="Bordered - Accent 6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2">
    <w:name w:val="Hyperlink"/>
    <w:uiPriority w:val="99"/>
    <w:unhideWhenUsed/>
    <w:rPr>
      <w:color w:val="0000FF" w:themeColor="hyperlink"/>
      <w:u w:val="single"/>
    </w:rPr>
  </w:style>
  <w:style w:type="paragraph" w:styleId="173">
    <w:name w:val="footnote text"/>
    <w:basedOn w:val="8"/>
    <w:link w:val="174"/>
    <w:uiPriority w:val="99"/>
    <w:semiHidden/>
    <w:unhideWhenUsed/>
    <w:pPr>
      <w:spacing w:after="40" w:line="240" w:lineRule="auto"/>
    </w:pPr>
    <w:rPr>
      <w:sz w:val="18"/>
    </w:rPr>
  </w:style>
  <w:style w:type="character" w:styleId="174">
    <w:name w:val="Footnote Text Char"/>
    <w:link w:val="173"/>
    <w:uiPriority w:val="99"/>
    <w:rPr>
      <w:sz w:val="18"/>
    </w:rPr>
  </w:style>
  <w:style w:type="character" w:styleId="175">
    <w:name w:val="footnote reference"/>
    <w:basedOn w:val="9"/>
    <w:uiPriority w:val="99"/>
    <w:unhideWhenUsed/>
    <w:rPr>
      <w:vertAlign w:val="superscript"/>
    </w:rPr>
  </w:style>
  <w:style w:type="paragraph" w:styleId="176">
    <w:name w:val="endnote text"/>
    <w:basedOn w:val="8"/>
    <w:link w:val="177"/>
    <w:uiPriority w:val="99"/>
    <w:semiHidden/>
    <w:unhideWhenUsed/>
    <w:pPr>
      <w:spacing w:after="0" w:line="240" w:lineRule="auto"/>
    </w:pPr>
    <w:rPr>
      <w:sz w:val="20"/>
    </w:rPr>
  </w:style>
  <w:style w:type="character" w:styleId="177">
    <w:name w:val="Endnote Text Char"/>
    <w:link w:val="176"/>
    <w:uiPriority w:val="99"/>
    <w:rPr>
      <w:sz w:val="20"/>
    </w:rPr>
  </w:style>
  <w:style w:type="character" w:styleId="178">
    <w:name w:val="endnote reference"/>
    <w:basedOn w:val="9"/>
    <w:uiPriority w:val="99"/>
    <w:semiHidden/>
    <w:unhideWhenUsed/>
    <w:rPr>
      <w:vertAlign w:val="superscript"/>
    </w:rPr>
  </w:style>
  <w:style w:type="paragraph" w:styleId="179">
    <w:name w:val="toc 1"/>
    <w:basedOn w:val="8"/>
    <w:next w:val="8"/>
    <w:uiPriority w:val="39"/>
    <w:unhideWhenUsed/>
    <w:pPr>
      <w:ind w:left="0" w:right="0" w:firstLine="0"/>
      <w:spacing w:after="57"/>
    </w:pPr>
  </w:style>
  <w:style w:type="paragraph" w:styleId="180">
    <w:name w:val="toc 2"/>
    <w:basedOn w:val="8"/>
    <w:next w:val="8"/>
    <w:uiPriority w:val="39"/>
    <w:unhideWhenUsed/>
    <w:pPr>
      <w:ind w:left="283" w:right="0" w:firstLine="0"/>
      <w:spacing w:after="57"/>
    </w:pPr>
  </w:style>
  <w:style w:type="paragraph" w:styleId="181">
    <w:name w:val="toc 3"/>
    <w:basedOn w:val="8"/>
    <w:next w:val="8"/>
    <w:uiPriority w:val="39"/>
    <w:unhideWhenUsed/>
    <w:pPr>
      <w:ind w:left="567" w:right="0" w:firstLine="0"/>
      <w:spacing w:after="57"/>
    </w:pPr>
  </w:style>
  <w:style w:type="paragraph" w:styleId="182">
    <w:name w:val="toc 4"/>
    <w:basedOn w:val="8"/>
    <w:next w:val="8"/>
    <w:uiPriority w:val="39"/>
    <w:unhideWhenUsed/>
    <w:pPr>
      <w:ind w:left="850" w:right="0" w:firstLine="0"/>
      <w:spacing w:after="57"/>
    </w:pPr>
  </w:style>
  <w:style w:type="paragraph" w:styleId="183">
    <w:name w:val="toc 5"/>
    <w:basedOn w:val="8"/>
    <w:next w:val="8"/>
    <w:uiPriority w:val="39"/>
    <w:unhideWhenUsed/>
    <w:pPr>
      <w:ind w:left="1134" w:right="0" w:firstLine="0"/>
      <w:spacing w:after="57"/>
    </w:pPr>
  </w:style>
  <w:style w:type="paragraph" w:styleId="184">
    <w:name w:val="toc 6"/>
    <w:basedOn w:val="8"/>
    <w:next w:val="8"/>
    <w:uiPriority w:val="39"/>
    <w:unhideWhenUsed/>
    <w:pPr>
      <w:ind w:left="1417" w:right="0" w:firstLine="0"/>
      <w:spacing w:after="57"/>
    </w:pPr>
  </w:style>
  <w:style w:type="paragraph" w:styleId="185">
    <w:name w:val="toc 7"/>
    <w:basedOn w:val="8"/>
    <w:next w:val="8"/>
    <w:uiPriority w:val="39"/>
    <w:unhideWhenUsed/>
    <w:pPr>
      <w:ind w:left="1701" w:right="0" w:firstLine="0"/>
      <w:spacing w:after="57"/>
    </w:pPr>
  </w:style>
  <w:style w:type="paragraph" w:styleId="186">
    <w:name w:val="toc 8"/>
    <w:basedOn w:val="8"/>
    <w:next w:val="8"/>
    <w:uiPriority w:val="39"/>
    <w:unhideWhenUsed/>
    <w:pPr>
      <w:ind w:left="1984" w:right="0" w:firstLine="0"/>
      <w:spacing w:after="57"/>
    </w:pPr>
  </w:style>
  <w:style w:type="paragraph" w:styleId="187">
    <w:name w:val="toc 9"/>
    <w:basedOn w:val="8"/>
    <w:next w:val="8"/>
    <w:uiPriority w:val="39"/>
    <w:unhideWhenUsed/>
    <w:pPr>
      <w:ind w:left="2268" w:right="0" w:firstLine="0"/>
      <w:spacing w:after="57"/>
    </w:pPr>
  </w:style>
  <w:style w:type="paragraph" w:styleId="188">
    <w:name w:val="TOC Heading"/>
    <w:uiPriority w:val="39"/>
    <w:unhideWhenUsed/>
  </w:style>
  <w:style w:type="paragraph" w:styleId="189">
    <w:name w:val="table of figures"/>
    <w:basedOn w:val="8"/>
    <w:next w:val="8"/>
    <w:uiPriority w:val="99"/>
    <w:unhideWhenUsed/>
    <w:pPr>
      <w:spacing w:after="0" w:afterAutospacing="0"/>
    </w:pPr>
  </w:style>
  <w:style w:type="paragraph" w:styleId="737">
    <w:name w:val="List Paragraph f7b875116fecdfa7c2ee535ac093c451"/>
    <w:basedOn w:val="753"/>
    <w:uiPriority w:val="34"/>
    <w:qFormat/>
    <w:pPr>
      <w:contextualSpacing/>
      <w:ind w:left="720"/>
    </w:pPr>
  </w:style>
  <w:style w:type="paragraph" w:styleId="738">
    <w:name w:val="Header f7b875116fecdfa7c2ee535ac093c451"/>
    <w:basedOn w:val="753"/>
    <w:link w:val="739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39">
    <w:name w:val="Header Char f7b875116fecdfa7c2ee535ac093c451"/>
    <w:link w:val="738"/>
    <w:uiPriority w:val="99"/>
  </w:style>
  <w:style w:type="paragraph" w:styleId="740">
    <w:name w:val="Footer f7b875116fecdfa7c2ee535ac093c451"/>
    <w:basedOn w:val="753"/>
    <w:link w:val="742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41">
    <w:name w:val="Footer Char f7b875116fecdfa7c2ee535ac093c451"/>
    <w:link w:val="740"/>
    <w:uiPriority w:val="99"/>
  </w:style>
  <w:style w:type="character" w:styleId="742">
    <w:name w:val="Caption Char f7b875116fecdfa7c2ee535ac093c451"/>
    <w:link w:val="740"/>
    <w:uiPriority w:val="99"/>
  </w:style>
  <w:style w:type="character" w:styleId="743">
    <w:name w:val="Hyperlink f7b875116fecdfa7c2ee535ac093c451"/>
    <w:uiPriority w:val="99"/>
    <w:unhideWhenUsed/>
    <w:rPr>
      <w:color w:val="0000FF" w:themeColor="hyperlink"/>
      <w:u w:val="single"/>
    </w:rPr>
  </w:style>
  <w:style w:type="paragraph" w:styleId="744">
    <w:name w:val="toc 1 f7b875116fecdfa7c2ee535ac093c451"/>
    <w:basedOn w:val="753"/>
    <w:uiPriority w:val="39"/>
    <w:unhideWhenUsed/>
    <w:pPr>
      <w:ind w:left="0" w:right="0" w:firstLine="0"/>
      <w:spacing w:after="57"/>
    </w:pPr>
  </w:style>
  <w:style w:type="paragraph" w:styleId="745">
    <w:name w:val="toc 2 f7b875116fecdfa7c2ee535ac093c451"/>
    <w:basedOn w:val="753"/>
    <w:uiPriority w:val="39"/>
    <w:unhideWhenUsed/>
    <w:pPr>
      <w:ind w:left="283" w:right="0" w:firstLine="0"/>
      <w:spacing w:after="57"/>
    </w:pPr>
  </w:style>
  <w:style w:type="paragraph" w:styleId="746">
    <w:name w:val="toc 3 f7b875116fecdfa7c2ee535ac093c451"/>
    <w:basedOn w:val="753"/>
    <w:uiPriority w:val="39"/>
    <w:unhideWhenUsed/>
    <w:pPr>
      <w:ind w:left="567" w:right="0" w:firstLine="0"/>
      <w:spacing w:after="57"/>
    </w:pPr>
  </w:style>
  <w:style w:type="paragraph" w:styleId="747">
    <w:name w:val="toc 4 f7b875116fecdfa7c2ee535ac093c451"/>
    <w:basedOn w:val="753"/>
    <w:uiPriority w:val="39"/>
    <w:unhideWhenUsed/>
    <w:pPr>
      <w:ind w:left="850" w:right="0" w:firstLine="0"/>
      <w:spacing w:after="57"/>
    </w:pPr>
  </w:style>
  <w:style w:type="paragraph" w:styleId="748">
    <w:name w:val="toc 5 f7b875116fecdfa7c2ee535ac093c451"/>
    <w:basedOn w:val="753"/>
    <w:uiPriority w:val="39"/>
    <w:unhideWhenUsed/>
    <w:pPr>
      <w:ind w:left="1134" w:right="0" w:firstLine="0"/>
      <w:spacing w:after="57"/>
    </w:pPr>
  </w:style>
  <w:style w:type="paragraph" w:styleId="749">
    <w:name w:val="toc 6 f7b875116fecdfa7c2ee535ac093c451"/>
    <w:basedOn w:val="753"/>
    <w:uiPriority w:val="39"/>
    <w:unhideWhenUsed/>
    <w:pPr>
      <w:ind w:left="1417" w:right="0" w:firstLine="0"/>
      <w:spacing w:after="57"/>
    </w:pPr>
  </w:style>
  <w:style w:type="paragraph" w:styleId="750">
    <w:name w:val="toc 7 f7b875116fecdfa7c2ee535ac093c451"/>
    <w:basedOn w:val="753"/>
    <w:uiPriority w:val="39"/>
    <w:unhideWhenUsed/>
    <w:pPr>
      <w:ind w:left="1701" w:right="0" w:firstLine="0"/>
      <w:spacing w:after="57"/>
    </w:pPr>
  </w:style>
  <w:style w:type="paragraph" w:styleId="751">
    <w:name w:val="toc 8 f7b875116fecdfa7c2ee535ac093c451"/>
    <w:basedOn w:val="753"/>
    <w:uiPriority w:val="39"/>
    <w:unhideWhenUsed/>
    <w:pPr>
      <w:ind w:left="1984" w:right="0" w:firstLine="0"/>
      <w:spacing w:after="57"/>
    </w:pPr>
  </w:style>
  <w:style w:type="paragraph" w:styleId="752">
    <w:name w:val="toc 9 f7b875116fecdfa7c2ee535ac093c451"/>
    <w:basedOn w:val="753"/>
    <w:uiPriority w:val="39"/>
    <w:unhideWhenUsed/>
    <w:pPr>
      <w:ind w:left="2268" w:right="0" w:firstLine="0"/>
      <w:spacing w:after="57"/>
    </w:pPr>
  </w:style>
  <w:style w:type="paragraph" w:styleId="753" w:default="1">
    <w:name w:val="Normal f7b875116fecdfa7c2ee535ac093c451"/>
    <w:qFormat/>
    <w:pPr>
      <w:widowControl w:val="off"/>
    </w:pPr>
    <w:rPr>
      <w:rFonts w:ascii="Liberation Serif" w:hAnsi="Liberation Serif" w:cs="Mangal" w:eastAsia="SimSun"/>
      <w:color w:val="auto"/>
      <w:sz w:val="24"/>
      <w:szCs w:val="24"/>
      <w:lang w:val="it-IT" w:bidi="hi-IN" w:eastAsia="zh-CN"/>
    </w:rPr>
  </w:style>
  <w:style w:type="character" w:styleId="754" w:default="1">
    <w:name w:val="Default Paragraph Font f7b875116fecdfa7c2ee535ac093c451"/>
    <w:uiPriority w:val="1"/>
    <w:semiHidden/>
    <w:unhideWhenUsed/>
  </w:style>
  <w:style w:type="numbering" w:styleId="755" w:default="1">
    <w:name w:val="No List f7b875116fecdfa7c2ee535ac093c451"/>
    <w:uiPriority w:val="99"/>
    <w:semiHidden/>
    <w:unhideWhenUsed/>
  </w:style>
  <w:style w:type="table" w:styleId="756" w:default="1">
    <w:name w:val="Normal Table f7b875116fecdfa7c2ee535ac093c451"/>
    <w:uiPriority w:val="99"/>
    <w:semiHidden/>
    <w:unhideWhenUsed/>
    <w:tblPr/>
  </w:style>
  <w:style w:type="character" w:styleId="757">
    <w:name w:val="Hyperlink 97860c16c2f6770ba9ad9a908d67940f"/>
    <w:uiPriority w:val="99"/>
    <w:unhideWhenUsed/>
    <w:rPr>
      <w:color w:val="0000FF" w:themeColor="hyperlink"/>
      <w:u w:val="single"/>
    </w:rPr>
  </w:style>
  <w:style w:type="paragraph" w:styleId="758">
    <w:name w:val="toc 1 97860c16c2f6770ba9ad9a908d67940f"/>
    <w:basedOn w:val="767"/>
    <w:uiPriority w:val="39"/>
    <w:unhideWhenUsed/>
    <w:pPr>
      <w:ind w:left="0" w:right="0" w:firstLine="0"/>
      <w:spacing w:after="57"/>
    </w:pPr>
  </w:style>
  <w:style w:type="paragraph" w:styleId="759">
    <w:name w:val="toc 2 97860c16c2f6770ba9ad9a908d67940f"/>
    <w:basedOn w:val="767"/>
    <w:uiPriority w:val="39"/>
    <w:unhideWhenUsed/>
    <w:pPr>
      <w:ind w:left="283" w:right="0" w:firstLine="0"/>
      <w:spacing w:after="57"/>
    </w:pPr>
  </w:style>
  <w:style w:type="paragraph" w:styleId="760">
    <w:name w:val="toc 3 97860c16c2f6770ba9ad9a908d67940f"/>
    <w:basedOn w:val="767"/>
    <w:uiPriority w:val="39"/>
    <w:unhideWhenUsed/>
    <w:pPr>
      <w:ind w:left="567" w:right="0" w:firstLine="0"/>
      <w:spacing w:after="57"/>
    </w:pPr>
  </w:style>
  <w:style w:type="paragraph" w:styleId="761">
    <w:name w:val="toc 4 97860c16c2f6770ba9ad9a908d67940f"/>
    <w:basedOn w:val="767"/>
    <w:uiPriority w:val="39"/>
    <w:unhideWhenUsed/>
    <w:pPr>
      <w:ind w:left="850" w:right="0" w:firstLine="0"/>
      <w:spacing w:after="57"/>
    </w:pPr>
  </w:style>
  <w:style w:type="paragraph" w:styleId="762">
    <w:name w:val="toc 5 97860c16c2f6770ba9ad9a908d67940f"/>
    <w:basedOn w:val="767"/>
    <w:uiPriority w:val="39"/>
    <w:unhideWhenUsed/>
    <w:pPr>
      <w:ind w:left="1134" w:right="0" w:firstLine="0"/>
      <w:spacing w:after="57"/>
    </w:pPr>
  </w:style>
  <w:style w:type="paragraph" w:styleId="763">
    <w:name w:val="toc 6 97860c16c2f6770ba9ad9a908d67940f"/>
    <w:basedOn w:val="767"/>
    <w:uiPriority w:val="39"/>
    <w:unhideWhenUsed/>
    <w:pPr>
      <w:ind w:left="1417" w:right="0" w:firstLine="0"/>
      <w:spacing w:after="57"/>
    </w:pPr>
  </w:style>
  <w:style w:type="paragraph" w:styleId="764">
    <w:name w:val="toc 7 97860c16c2f6770ba9ad9a908d67940f"/>
    <w:basedOn w:val="767"/>
    <w:uiPriority w:val="39"/>
    <w:unhideWhenUsed/>
    <w:pPr>
      <w:ind w:left="1701" w:right="0" w:firstLine="0"/>
      <w:spacing w:after="57"/>
    </w:pPr>
  </w:style>
  <w:style w:type="paragraph" w:styleId="765">
    <w:name w:val="toc 8 97860c16c2f6770ba9ad9a908d67940f"/>
    <w:basedOn w:val="767"/>
    <w:uiPriority w:val="39"/>
    <w:unhideWhenUsed/>
    <w:pPr>
      <w:ind w:left="1984" w:right="0" w:firstLine="0"/>
      <w:spacing w:after="57"/>
    </w:pPr>
  </w:style>
  <w:style w:type="paragraph" w:styleId="766">
    <w:name w:val="toc 9 97860c16c2f6770ba9ad9a908d67940f"/>
    <w:basedOn w:val="767"/>
    <w:uiPriority w:val="39"/>
    <w:unhideWhenUsed/>
    <w:pPr>
      <w:ind w:left="2268" w:right="0" w:firstLine="0"/>
      <w:spacing w:after="57"/>
    </w:pPr>
  </w:style>
  <w:style w:type="paragraph" w:styleId="767">
    <w:name w:val="Normal 97860c16c2f6770ba9ad9a908d67940f"/>
    <w:pPr>
      <w:widowControl w:val="off"/>
    </w:pPr>
    <w:rPr>
      <w:rFonts w:ascii="Liberation Serif" w:hAnsi="Liberation Serif" w:cs="Mangal" w:eastAsia="SimSun"/>
      <w:color w:val="auto"/>
      <w:sz w:val="24"/>
      <w:szCs w:val="24"/>
      <w:lang w:val="it-IT" w:bidi="hi-IN" w:eastAsia="zh-CN"/>
    </w:rPr>
  </w:style>
  <w:style w:type="character" w:styleId="768">
    <w:name w:val="Default Paragraph Font 97860c16c2f6770ba9ad9a908d67940f"/>
    <w:uiPriority w:val="1"/>
    <w:semiHidden/>
    <w:unhideWhenUsed/>
  </w:style>
  <w:style w:type="numbering" w:styleId="769">
    <w:name w:val="No List 97860c16c2f6770ba9ad9a908d67940f"/>
    <w:uiPriority w:val="99"/>
    <w:semiHidden/>
    <w:unhideWhenUsed/>
  </w:style>
  <w:style w:type="table" w:styleId="770">
    <w:name w:val="Normal Table 97860c16c2f6770ba9ad9a908d67940f"/>
    <w:uiPriority w:val="99"/>
    <w:semiHidden/>
    <w:unhideWhenUsed/>
    <w:tblPr/>
  </w:style>
  <w:style w:type="character" w:styleId="771">
    <w:name w:val="Hyperlink fa1ca962288d52c2f4ca95efae53a42c"/>
    <w:uiPriority w:val="99"/>
    <w:unhideWhenUsed/>
    <w:rPr>
      <w:color w:val="0000FF" w:themeColor="hyperlink"/>
      <w:u w:val="single"/>
    </w:rPr>
  </w:style>
  <w:style w:type="paragraph" w:styleId="772">
    <w:name w:val="toc 1 fa1ca962288d52c2f4ca95efae53a42c"/>
    <w:basedOn w:val="781"/>
    <w:uiPriority w:val="39"/>
    <w:unhideWhenUsed/>
    <w:pPr>
      <w:ind w:left="0" w:right="0" w:firstLine="0"/>
      <w:spacing w:after="57"/>
    </w:pPr>
  </w:style>
  <w:style w:type="paragraph" w:styleId="773">
    <w:name w:val="toc 2 fa1ca962288d52c2f4ca95efae53a42c"/>
    <w:basedOn w:val="781"/>
    <w:uiPriority w:val="39"/>
    <w:unhideWhenUsed/>
    <w:pPr>
      <w:ind w:left="283" w:right="0" w:firstLine="0"/>
      <w:spacing w:after="57"/>
    </w:pPr>
  </w:style>
  <w:style w:type="paragraph" w:styleId="774">
    <w:name w:val="toc 3 fa1ca962288d52c2f4ca95efae53a42c"/>
    <w:basedOn w:val="781"/>
    <w:uiPriority w:val="39"/>
    <w:unhideWhenUsed/>
    <w:pPr>
      <w:ind w:left="567" w:right="0" w:firstLine="0"/>
      <w:spacing w:after="57"/>
    </w:pPr>
  </w:style>
  <w:style w:type="paragraph" w:styleId="775">
    <w:name w:val="toc 4 fa1ca962288d52c2f4ca95efae53a42c"/>
    <w:basedOn w:val="781"/>
    <w:uiPriority w:val="39"/>
    <w:unhideWhenUsed/>
    <w:pPr>
      <w:ind w:left="850" w:right="0" w:firstLine="0"/>
      <w:spacing w:after="57"/>
    </w:pPr>
  </w:style>
  <w:style w:type="paragraph" w:styleId="776">
    <w:name w:val="toc 5 fa1ca962288d52c2f4ca95efae53a42c"/>
    <w:basedOn w:val="781"/>
    <w:uiPriority w:val="39"/>
    <w:unhideWhenUsed/>
    <w:pPr>
      <w:ind w:left="1134" w:right="0" w:firstLine="0"/>
      <w:spacing w:after="57"/>
    </w:pPr>
  </w:style>
  <w:style w:type="paragraph" w:styleId="777">
    <w:name w:val="toc 6 fa1ca962288d52c2f4ca95efae53a42c"/>
    <w:basedOn w:val="781"/>
    <w:uiPriority w:val="39"/>
    <w:unhideWhenUsed/>
    <w:pPr>
      <w:ind w:left="1417" w:right="0" w:firstLine="0"/>
      <w:spacing w:after="57"/>
    </w:pPr>
  </w:style>
  <w:style w:type="paragraph" w:styleId="778">
    <w:name w:val="toc 7 fa1ca962288d52c2f4ca95efae53a42c"/>
    <w:basedOn w:val="781"/>
    <w:uiPriority w:val="39"/>
    <w:unhideWhenUsed/>
    <w:pPr>
      <w:ind w:left="1701" w:right="0" w:firstLine="0"/>
      <w:spacing w:after="57"/>
    </w:pPr>
  </w:style>
  <w:style w:type="paragraph" w:styleId="779">
    <w:name w:val="toc 8 fa1ca962288d52c2f4ca95efae53a42c"/>
    <w:basedOn w:val="781"/>
    <w:uiPriority w:val="39"/>
    <w:unhideWhenUsed/>
    <w:pPr>
      <w:ind w:left="1984" w:right="0" w:firstLine="0"/>
      <w:spacing w:after="57"/>
    </w:pPr>
  </w:style>
  <w:style w:type="paragraph" w:styleId="780">
    <w:name w:val="toc 9 fa1ca962288d52c2f4ca95efae53a42c"/>
    <w:basedOn w:val="781"/>
    <w:uiPriority w:val="39"/>
    <w:unhideWhenUsed/>
    <w:pPr>
      <w:ind w:left="2268" w:right="0" w:firstLine="0"/>
      <w:spacing w:after="57"/>
    </w:pPr>
  </w:style>
  <w:style w:type="paragraph" w:styleId="781">
    <w:name w:val="Normal fa1ca962288d52c2f4ca95efae53a42c"/>
    <w:pPr>
      <w:widowControl w:val="off"/>
    </w:pPr>
    <w:rPr>
      <w:rFonts w:ascii="Liberation Serif" w:hAnsi="Liberation Serif" w:cs="Mangal" w:eastAsia="SimSun"/>
      <w:color w:val="auto"/>
      <w:sz w:val="24"/>
      <w:szCs w:val="24"/>
      <w:lang w:val="it-IT" w:bidi="hi-IN" w:eastAsia="zh-CN"/>
    </w:rPr>
  </w:style>
  <w:style w:type="character" w:styleId="782">
    <w:name w:val="Default Paragraph Font fa1ca962288d52c2f4ca95efae53a42c"/>
    <w:uiPriority w:val="1"/>
    <w:semiHidden/>
    <w:unhideWhenUsed/>
  </w:style>
  <w:style w:type="numbering" w:styleId="783">
    <w:name w:val="No List fa1ca962288d52c2f4ca95efae53a42c"/>
    <w:uiPriority w:val="99"/>
    <w:semiHidden/>
    <w:unhideWhenUsed/>
  </w:style>
  <w:style w:type="table" w:styleId="784">
    <w:name w:val="Normal Table fa1ca962288d52c2f4ca95efae53a42c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footer" Target="footer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ONLYOFFICE/7.1.1.23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language>it-IT</dc:language>
  <cp:lastModifiedBy>s.burghiani</cp:lastModifiedBy>
  <cp:revision>15</cp:revision>
  <dcterms:created xsi:type="dcterms:W3CDTF">2016-01-21T15:36:37Z</dcterms:created>
  <dcterms:modified xsi:type="dcterms:W3CDTF">2026-07-24T09:53:12Z</dcterms:modified>
</cp:coreProperties>
</file>