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tabs>
          <w:tab w:val="left" w:pos="708" w:leader="none"/>
          <w:tab w:val="center" w:pos="4819" w:leader="none"/>
          <w:tab w:val="right" w:pos="9638" w:leader="none"/>
        </w:tabs>
        <w:rPr>
          <w:rFonts w:ascii="Tahoma" w:hAnsi="Tahoma" w:cs="Tahoma" w:eastAsia="Times New Roman"/>
          <w:lang w:eastAsia="it-IT"/>
        </w:rPr>
      </w:pPr>
      <w:r>
        <w:rPr>
          <w:rFonts w:ascii="Tahoma" w:hAnsi="Tahoma" w:cs="Tahoma" w:eastAsia="Times New Roman"/>
          <w:b/>
          <w:lang w:eastAsia="it-IT"/>
        </w:rPr>
      </w:r>
      <w:r>
        <w:rPr>
          <w:rFonts w:ascii="Tahoma" w:hAnsi="Tahoma" w:cs="Tahoma" w:eastAsia="Times New Roman"/>
          <w:lang w:eastAsia="it-IT"/>
        </w:rPr>
      </w:r>
      <w:r/>
    </w:p>
    <w:p>
      <w:pPr>
        <w:jc w:val="center"/>
        <w:tabs>
          <w:tab w:val="left" w:pos="708" w:leader="none"/>
          <w:tab w:val="center" w:pos="4819" w:leader="none"/>
          <w:tab w:val="right" w:pos="9638" w:leader="none"/>
        </w:tabs>
        <w:rPr>
          <w:rFonts w:ascii="Arial" w:hAnsi="Arial" w:cs="Arial" w:eastAsia="Arial"/>
        </w:rPr>
      </w:pPr>
      <w:r>
        <w:rPr>
          <w:rFonts w:ascii="Arial" w:hAnsi="Arial" w:cs="Arial" w:eastAsia="Arial"/>
          <w:b/>
          <w:sz w:val="24"/>
          <w:lang w:eastAsia="it-IT"/>
        </w:rPr>
        <w:t xml:space="preserve">PROPOSTA DI DELIBERAZIONE</w:t>
      </w:r>
      <w:r>
        <w:rPr>
          <w:rFonts w:ascii="Arial" w:hAnsi="Arial" w:cs="Arial" w:eastAsia="Arial"/>
          <w:sz w:val="24"/>
        </w:rPr>
      </w:r>
      <w:r/>
    </w:p>
    <w:p>
      <w:pPr>
        <w:jc w:val="center"/>
        <w:tabs>
          <w:tab w:val="left" w:pos="708" w:leader="none"/>
          <w:tab w:val="center" w:pos="4819" w:leader="none"/>
          <w:tab w:val="right" w:pos="9638" w:leader="none"/>
        </w:tabs>
        <w:rPr>
          <w:rFonts w:ascii="Arial" w:hAnsi="Arial" w:cs="Arial" w:eastAsia="Arial"/>
          <w:highlight w:val="none"/>
        </w:rPr>
      </w:pPr>
      <w:r>
        <w:rPr>
          <w:rFonts w:ascii="Arial" w:hAnsi="Arial" w:cs="Arial" w:eastAsia="Arial"/>
          <w:b/>
          <w:sz w:val="24"/>
          <w:lang w:eastAsia="it-IT"/>
        </w:rPr>
        <w:t xml:space="preserve">DEL CONSIGLIO COMUNALE</w:t>
      </w:r>
      <w:r>
        <w:rPr>
          <w:rFonts w:ascii="Arial" w:hAnsi="Arial" w:cs="Arial" w:eastAsia="Arial"/>
          <w:sz w:val="24"/>
          <w:highlight w:val="none"/>
        </w:rPr>
      </w:r>
      <w:r/>
    </w:p>
    <w:p>
      <w:pPr>
        <w:jc w:val="center"/>
        <w:tabs>
          <w:tab w:val="left" w:pos="708" w:leader="none"/>
          <w:tab w:val="center" w:pos="4819" w:leader="none"/>
          <w:tab w:val="right" w:pos="9638" w:leader="none"/>
        </w:tabs>
        <w:rPr>
          <w:rFonts w:ascii="Arial" w:hAnsi="Arial" w:cs="Arial" w:eastAsia="Arial"/>
          <w:highlight w:val="none"/>
        </w:rPr>
      </w:pPr>
      <w:r>
        <w:rPr>
          <w:rFonts w:ascii="Arial" w:hAnsi="Arial" w:cs="Arial" w:eastAsia="Arial"/>
          <w:sz w:val="24"/>
          <w:highlight w:val="none"/>
        </w:rPr>
      </w:r>
      <w:r>
        <w:rPr>
          <w:rFonts w:ascii="Arial" w:hAnsi="Arial" w:cs="Arial" w:eastAsia="Arial"/>
          <w:sz w:val="24"/>
          <w:highlight w:val="none"/>
        </w:rPr>
      </w:r>
      <w:r/>
    </w:p>
    <w:p>
      <w:pPr>
        <w:jc w:val="center"/>
        <w:tabs>
          <w:tab w:val="left" w:pos="708" w:leader="none"/>
          <w:tab w:val="center" w:pos="4819" w:leader="none"/>
          <w:tab w:val="right" w:pos="9638" w:leader="none"/>
        </w:tabs>
        <w:rPr>
          <w:rFonts w:ascii="Arial" w:hAnsi="Arial" w:cs="Arial" w:eastAsia="Arial"/>
        </w:rPr>
      </w:pPr>
      <w:r>
        <w:rPr>
          <w:rFonts w:ascii="Arial" w:hAnsi="Arial" w:cs="Arial" w:eastAsia="Arial"/>
          <w:b/>
          <w:sz w:val="24"/>
          <w:highlight w:val="none"/>
          <w:lang w:eastAsia="it-IT"/>
        </w:rPr>
        <w:t xml:space="preserve">n. </w:t>
      </w:r>
      <w:r>
        <w:rPr>
          <w:rFonts w:ascii="Arial" w:hAnsi="Arial" w:cs="Arial" w:eastAsia="Arial"/>
          <w:b/>
          <w:sz w:val="24"/>
          <w:lang w:eastAsia="it-IT"/>
        </w:rPr>
        <w:t xml:space="preserve">884 del </w:t>
      </w:r>
      <w:r>
        <w:rPr>
          <w:rFonts w:ascii="Arial" w:hAnsi="Arial" w:cs="Arial" w:eastAsia="Arial"/>
          <w:b/>
          <w:sz w:val="24"/>
          <w:lang w:eastAsia="it-IT"/>
        </w:rPr>
        <w:t xml:space="preserve">23/07/2026</w:t>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szCs w:val="14"/>
          <w:lang w:eastAsia="it-IT"/>
        </w:rPr>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szCs w:val="14"/>
          <w:lang w:eastAsia="it-IT"/>
        </w:rPr>
      </w:r>
      <w:r>
        <w:rPr>
          <w:rFonts w:ascii="Arial" w:hAnsi="Arial" w:cs="Arial" w:eastAsia="Arial"/>
          <w:sz w:val="24"/>
        </w:rPr>
      </w:r>
      <w:r/>
    </w:p>
    <w:p>
      <w:pPr>
        <w:jc w:val="both"/>
        <w:tabs>
          <w:tab w:val="left" w:pos="708" w:leader="none"/>
          <w:tab w:val="center" w:pos="4819" w:leader="none"/>
          <w:tab w:val="right" w:pos="9638" w:leader="none"/>
        </w:tabs>
        <w:rPr>
          <w:rFonts w:ascii="Arial" w:hAnsi="Arial" w:cs="Arial" w:eastAsia="Arial"/>
        </w:rPr>
      </w:pPr>
      <w:r>
        <w:rPr>
          <w:rFonts w:ascii="Arial" w:hAnsi="Arial" w:cs="Arial" w:eastAsia="Arial"/>
          <w:b/>
          <w:sz w:val="24"/>
          <w:lang w:eastAsia="it-IT"/>
        </w:rPr>
        <w:t xml:space="preserve">OGGETTO:</w:t>
      </w:r>
      <w:r>
        <w:rPr>
          <w:rFonts w:ascii="Arial" w:hAnsi="Arial" w:cs="Arial" w:eastAsia="Arial"/>
          <w:sz w:val="24"/>
        </w:rPr>
      </w:r>
      <w:r/>
    </w:p>
    <w:p>
      <w:pPr>
        <w:rPr>
          <w:rFonts w:ascii="Arial" w:hAnsi="Arial" w:cs="Arial" w:eastAsia="Arial"/>
        </w:rPr>
      </w:pPr>
      <w:r>
        <w:rPr>
          <w:rFonts w:ascii="Arial" w:hAnsi="Arial" w:cs="Arial" w:eastAsia="Arial"/>
          <w:b/>
          <w:sz w:val="24"/>
          <w:lang w:eastAsia="it-IT"/>
        </w:rPr>
        <w:t xml:space="preserve">APPROVAZIONE DEGLI SCHEMI DI CONVENZIONE PER LO SVOLGIMENTO DA PARTE DELL'UFFICIO SPECIALE PER LA RICOSTRUZIONE DELLA REGIONE MARCHE DELLE ATTIVITA' DI CENTRALE DI COMMITTENZA E DI COMMITTENZA AUSILIARIA AI SENSI DEGLI ARTT. 62 E 63 DEL D.LGS. N. 36/2023</w:t>
      </w:r>
      <w:r>
        <w:rPr>
          <w:rFonts w:ascii="Arial" w:hAnsi="Arial" w:cs="Arial" w:eastAsia="Arial"/>
          <w:sz w:val="24"/>
        </w:rPr>
      </w:r>
      <w:r/>
    </w:p>
    <w:p>
      <w:pPr>
        <w:jc w:val="both"/>
        <w:tabs>
          <w:tab w:val="left" w:pos="708" w:leader="none"/>
          <w:tab w:val="center" w:pos="4819" w:leader="none"/>
          <w:tab w:val="right" w:pos="9638" w:leader="none"/>
        </w:tabs>
        <w:rPr>
          <w:rFonts w:ascii="Arial" w:hAnsi="Arial" w:cs="Arial" w:eastAsia="Arial"/>
        </w:rPr>
        <w:pBdr>
          <w:bottom w:val="single" w:color="000000" w:sz="6" w:space="0"/>
        </w:pBdr>
      </w:pPr>
      <w:r>
        <w:rPr>
          <w:rFonts w:ascii="Arial" w:hAnsi="Arial" w:cs="Arial" w:eastAsia="Arial"/>
          <w:sz w:val="24"/>
          <w:lang w:eastAsia="it-IT"/>
        </w:rPr>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lang w:eastAsia="it-IT"/>
        </w:rPr>
      </w:r>
      <w:r>
        <w:rPr>
          <w:rFonts w:ascii="Arial" w:hAnsi="Arial" w:cs="Arial" w:eastAsia="Arial"/>
          <w:sz w:val="24"/>
        </w:rPr>
      </w:r>
      <w:r/>
    </w:p>
    <w:p>
      <w:pPr>
        <w:pStyle w:val="760"/>
      </w:pPr>
      <w:r/>
      <w:r/>
    </w:p>
    <w:p>
      <w:pPr>
        <w:jc w:val="center"/>
        <w:rPr>
          <w:rFonts w:ascii="Arial" w:hAnsi="Arial" w:cs="Arial" w:eastAsia="Arial"/>
          <w:b/>
          <w:sz w:val="24"/>
          <w:highlight w:val="none"/>
        </w:rPr>
      </w:pPr>
      <w:r>
        <w:rPr>
          <w:rFonts w:ascii="Arial" w:hAnsi="Arial" w:cs="Arial" w:eastAsia="Arial"/>
          <w:b/>
          <w:sz w:val="24"/>
          <w:highlight w:val="none"/>
        </w:rPr>
      </w:r>
      <w:r>
        <w:rPr>
          <w:rFonts w:ascii="Arial" w:hAnsi="Arial" w:cs="Arial" w:eastAsia="Arial"/>
          <w:b/>
          <w:sz w:val="24"/>
          <w:highlight w:val="none"/>
        </w:rPr>
      </w:r>
      <w:r/>
    </w:p>
    <w:p>
      <w:pPr>
        <w:pStyle w:val="746"/>
        <w:jc w:val="center"/>
        <w:rPr>
          <w:rFonts w:ascii="Arial" w:hAnsi="Arial" w:cs="Arial" w:eastAsia="Arial"/>
          <w:b/>
          <w:bCs/>
          <w:sz w:val="24"/>
          <w:szCs w:val="24"/>
          <w:highlight w:val="none"/>
        </w:rPr>
      </w:pPr>
      <w:r>
        <w:rPr>
          <w:rFonts w:ascii="Arial" w:hAnsi="Arial" w:cs="Arial" w:eastAsia="Arial"/>
          <w:b/>
          <w:sz w:val="24"/>
        </w:rPr>
        <w:t xml:space="preserve">IL CONSIGLIO COMUNALE</w:t>
      </w:r>
      <w:r>
        <w:rPr>
          <w:rFonts w:ascii="Arial" w:hAnsi="Arial" w:cs="Arial" w:eastAsia="Arial"/>
          <w:b/>
          <w:bCs/>
          <w:sz w:val="24"/>
          <w:szCs w:val="24"/>
          <w:highlight w:val="none"/>
        </w:rPr>
      </w:r>
      <w:r/>
    </w:p>
    <w:p>
      <w:pPr>
        <w:jc w:val="left"/>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ind w:left="0" w:right="0" w:firstLine="708"/>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PREMESSO </w:t>
      </w:r>
      <w:r>
        <w:rPr>
          <w:rFonts w:ascii="Times New Roman" w:hAnsi="Times New Roman" w:cs="Times New Roman" w:eastAsia="Times New Roman"/>
          <w:color w:val="000000"/>
          <w:sz w:val="24"/>
        </w:rPr>
        <w:t xml:space="preserve">che:</w:t>
      </w:r>
      <w:r>
        <w:rPr>
          <w:rFonts w:ascii="Times New Roman" w:hAnsi="Times New Roman" w:cs="Times New Roman" w:eastAsia="Times New Roman"/>
          <w:sz w:val="24"/>
        </w:rPr>
      </w:r>
      <w:r/>
    </w:p>
    <w:p>
      <w:pPr>
        <w:ind w:left="0" w:right="0" w:firstLine="708"/>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con l’Ordinanza del Commissario straordinario del Governo per la ricostruzione n. 56 del 10 maggio 2018 e ss.mm.ii., recante: “</w:t>
      </w:r>
      <w:r>
        <w:rPr>
          <w:rFonts w:ascii="Times New Roman" w:hAnsi="Times New Roman" w:cs="Times New Roman" w:eastAsia="Times New Roman"/>
          <w:i/>
          <w:color w:val="000000"/>
          <w:sz w:val="24"/>
        </w:rPr>
        <w:t xml:space="preserve">Approvazione del secondo programma degli interventi di ricostruzione, riparazione e ripristino delle opere pubbliche nei territori delle Regioni Abruzzo, Lazio, Marche ed Umbria interessati dagli eventi sismici verificatisi a far data dal 24 agosto 2016. M</w:t>
      </w:r>
      <w:r>
        <w:rPr>
          <w:rFonts w:ascii="Times New Roman" w:hAnsi="Times New Roman" w:cs="Times New Roman" w:eastAsia="Times New Roman"/>
          <w:i/>
          <w:color w:val="000000"/>
          <w:sz w:val="24"/>
        </w:rPr>
        <w:t xml:space="preserve">odifiche e integrazioni alle ordinanze n. 27 del 9 giugno 2017, n. 33 dell’11 luglio 2017, n. 37 dell’8 settembre 2017 e n. 38 dell’8 settembre 2017. Individuazione degli interventi che rivestono importanza essenziale ai fini della ricostruzione” </w:t>
      </w:r>
      <w:r>
        <w:rPr>
          <w:rFonts w:ascii="Times New Roman" w:hAnsi="Times New Roman" w:cs="Times New Roman" w:eastAsia="Times New Roman"/>
          <w:color w:val="000000"/>
          <w:sz w:val="24"/>
        </w:rPr>
        <w:t xml:space="preserve">è stato approvato il secondo programma degli interventi di ricostruzione, riparazione e ripristino delle opere pubbliche nei territori delle Regioni Abruzzo, Lazio, Marche e Umbria, interessati dagli eventi sismici verificatisi a far data dal 24 agosto 201</w:t>
      </w:r>
      <w:r>
        <w:rPr>
          <w:rFonts w:ascii="Times New Roman" w:hAnsi="Times New Roman" w:cs="Times New Roman" w:eastAsia="Times New Roman"/>
          <w:color w:val="000000"/>
          <w:sz w:val="24"/>
        </w:rPr>
        <w:t xml:space="preserve">6;</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tra gli interventi riferiti ai Municipi elencati nell’Allegato 1 della sopracitata Ordinanza è ricompreso l’“</w:t>
      </w:r>
      <w:r>
        <w:rPr>
          <w:rFonts w:ascii="Times New Roman" w:hAnsi="Times New Roman" w:cs="Times New Roman" w:eastAsia="Times New Roman"/>
          <w:i/>
          <w:color w:val="000000"/>
          <w:sz w:val="24"/>
        </w:rPr>
        <w:t xml:space="preserve">adeguamento/miglioramento</w:t>
      </w:r>
      <w:r>
        <w:rPr>
          <w:rFonts w:ascii="Times New Roman" w:hAnsi="Times New Roman" w:cs="Times New Roman" w:eastAsia="Times New Roman"/>
          <w:color w:val="000000"/>
          <w:sz w:val="24"/>
        </w:rPr>
        <w:t xml:space="preserve">” del “</w:t>
      </w:r>
      <w:r>
        <w:rPr>
          <w:rFonts w:ascii="Times New Roman" w:hAnsi="Times New Roman" w:cs="Times New Roman" w:eastAsia="Times New Roman"/>
          <w:i/>
          <w:color w:val="000000"/>
          <w:sz w:val="24"/>
        </w:rPr>
        <w:t xml:space="preserve">Comune</w:t>
      </w:r>
      <w:r>
        <w:rPr>
          <w:rFonts w:ascii="Times New Roman" w:hAnsi="Times New Roman" w:cs="Times New Roman" w:eastAsia="Times New Roman"/>
          <w:color w:val="000000"/>
          <w:sz w:val="24"/>
        </w:rPr>
        <w:t xml:space="preserve">” di Osimo;</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color w:val="000000"/>
          <w:sz w:val="24"/>
          <w:highlight w:val="none"/>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con l’Ordinanza del Commissario straordinario del Governo per la ricostruzione del 23 dicembre 2021, n. 109 e ss.mm.ii., recante: </w:t>
      </w:r>
      <w:r>
        <w:rPr>
          <w:rFonts w:ascii="Times New Roman" w:hAnsi="Times New Roman" w:cs="Times New Roman" w:eastAsia="Times New Roman"/>
          <w:i/>
          <w:color w:val="000000"/>
          <w:sz w:val="24"/>
        </w:rPr>
        <w:t xml:space="preserve">“Approvazione elenco unico dei programmi delle opere pubbliche nonché disposizioni organizzative e definizione delle procedure di semplificazione e accelerazione della ricostruzione pubblica”</w:t>
      </w:r>
      <w:r>
        <w:rPr>
          <w:rFonts w:ascii="Times New Roman" w:hAnsi="Times New Roman" w:cs="Times New Roman" w:eastAsia="Times New Roman"/>
          <w:color w:val="000000"/>
          <w:sz w:val="24"/>
        </w:rPr>
        <w:t xml:space="preserve">, è stato approvato l’Allegato 1 “</w:t>
      </w:r>
      <w:r>
        <w:rPr>
          <w:rFonts w:ascii="Times New Roman" w:hAnsi="Times New Roman" w:cs="Times New Roman" w:eastAsia="Times New Roman"/>
          <w:i/>
          <w:color w:val="000000"/>
          <w:sz w:val="24"/>
        </w:rPr>
        <w:t xml:space="preserve">Elenco degli interventi</w:t>
      </w:r>
      <w:r>
        <w:rPr>
          <w:rFonts w:ascii="Times New Roman" w:hAnsi="Times New Roman" w:cs="Times New Roman" w:eastAsia="Times New Roman"/>
          <w:color w:val="000000"/>
          <w:sz w:val="24"/>
        </w:rPr>
        <w:t xml:space="preserve">”, che sostituisce e integra gli elenchi degli interventi ricompresi nei piani e programmi approvati con le ordinanze commissariali n. 27/017, 33/017, 37/017, 56/018, 64/018 e 86/020, nel quale sono ricompresi gli interventi inerenti la sede municipale di </w:t>
      </w:r>
      <w:r>
        <w:rPr>
          <w:rFonts w:ascii="Times New Roman" w:hAnsi="Times New Roman" w:cs="Times New Roman" w:eastAsia="Times New Roman"/>
          <w:color w:val="000000"/>
          <w:sz w:val="24"/>
        </w:rPr>
        <w:t xml:space="preserve">Osimo, suddivisi in due stralci denominati, rispettivamente: “Comune – 1° stralcio” (Id Ord n. 734, ID Reg. n 311) e “Comune – 2° stralcio sede istituzionale” (Id Ord n. 735, ID Reg n. 312), per un importo complessivo di €. 2.070.320,00;</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highlight w:val="none"/>
        </w:rPr>
      </w:r>
      <w:r>
        <w:rPr>
          <w:rFonts w:ascii="Times New Roman" w:hAnsi="Times New Roman" w:cs="Times New Roman" w:eastAsia="Times New Roman"/>
          <w:color w:val="000000"/>
          <w:sz w:val="24"/>
          <w:highlight w:val="none"/>
        </w:rPr>
      </w:r>
      <w:r/>
    </w:p>
    <w:p>
      <w:pPr>
        <w:ind w:left="0" w:right="-1"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con l’Ordinanza del Commissario straordinario del Governo per la ricostruzione n. 137 del 29/03/2023 e ss.mm.ii., recante: “A</w:t>
      </w:r>
      <w:r>
        <w:rPr>
          <w:rFonts w:ascii="Times New Roman" w:hAnsi="Times New Roman" w:cs="Times New Roman" w:eastAsia="Times New Roman"/>
          <w:i/>
          <w:color w:val="000000"/>
          <w:sz w:val="24"/>
        </w:rPr>
        <w:t xml:space="preserve">pprovazione del Programma straordinario di Rigenerazione Urbana connessa al sisma e del Nuovo Piano di ricostruzione di altre opere pubbliche per la Regione Marche nonché dell’elenco degli interventi per il recupero del tessuto socio-economico delle aree c</w:t>
      </w:r>
      <w:r>
        <w:rPr>
          <w:rFonts w:ascii="Times New Roman" w:hAnsi="Times New Roman" w:cs="Times New Roman" w:eastAsia="Times New Roman"/>
          <w:i/>
          <w:color w:val="000000"/>
          <w:sz w:val="24"/>
        </w:rPr>
        <w:t xml:space="preserve">olpite dal sisma finanziati con i fondi della Camera dei deputati per la Regione Marche e norme di coordinamento con le ordinanze n. 109 del 2020 e 129 del 2022” </w:t>
      </w:r>
      <w:r>
        <w:rPr>
          <w:rFonts w:ascii="Times New Roman" w:hAnsi="Times New Roman" w:cs="Times New Roman" w:eastAsia="Times New Roman"/>
          <w:color w:val="000000"/>
          <w:sz w:val="24"/>
        </w:rPr>
        <w:t xml:space="preserve">è stato approvato il Nuovo Piano di ricostruzione di altre opere pubbliche per la Regione Marche, come da Elenco di cui all’Allegato B alla medesima ordinanza, nel quale è stato inserito il seguente intervento riguardante il Comune di Osimo: “Ristrutturazi</w:t>
      </w:r>
      <w:r>
        <w:rPr>
          <w:rFonts w:ascii="Times New Roman" w:hAnsi="Times New Roman" w:cs="Times New Roman" w:eastAsia="Times New Roman"/>
          <w:color w:val="000000"/>
          <w:sz w:val="24"/>
        </w:rPr>
        <w:t xml:space="preserve">one con miglioramento sismico della Chiesa dell’Annunziata presso il Cimitero Maggiore di Osimo”, al quale è stato assegnato un finanziamento pari ad € 500.000,00;</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112" w:right="107" w:firstLine="597"/>
        <w:jc w:val="both"/>
        <w:spacing w:before="0" w:after="0"/>
        <w:tabs>
          <w:tab w:val="left" w:pos="425"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CONSIDERATO</w:t>
      </w:r>
      <w:r>
        <w:rPr>
          <w:rFonts w:ascii="Times New Roman" w:hAnsi="Times New Roman" w:cs="Times New Roman" w:eastAsia="Times New Roman"/>
          <w:color w:val="000000"/>
          <w:sz w:val="24"/>
        </w:rPr>
        <w:t xml:space="preserve"> che:</w:t>
      </w:r>
      <w:r>
        <w:rPr>
          <w:rFonts w:ascii="Times New Roman" w:hAnsi="Times New Roman" w:cs="Times New Roman" w:eastAsia="Times New Roman"/>
          <w:sz w:val="24"/>
        </w:rPr>
      </w:r>
      <w:r/>
    </w:p>
    <w:p>
      <w:pPr>
        <w:ind w:left="112" w:right="107" w:firstLine="0"/>
        <w:jc w:val="both"/>
        <w:spacing w:before="0" w:after="0"/>
        <w:tabs>
          <w:tab w:val="left" w:pos="284"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ai sensi dell’art. 15, comma 2, del D.L. 17 ottobre 2016, n. 189 e s.m.i., il Presidente della Regione Marche,</w:t>
      </w:r>
      <w:r>
        <w:rPr>
          <w:rFonts w:ascii="Times New Roman" w:hAnsi="Times New Roman" w:cs="Times New Roman" w:eastAsia="Times New Roman"/>
          <w:color w:val="000000"/>
          <w:spacing w:val="-17"/>
          <w:sz w:val="24"/>
        </w:rPr>
        <w:t xml:space="preserve"> </w:t>
      </w:r>
      <w:r>
        <w:rPr>
          <w:rFonts w:ascii="Times New Roman" w:hAnsi="Times New Roman" w:cs="Times New Roman" w:eastAsia="Times New Roman"/>
          <w:color w:val="000000"/>
          <w:sz w:val="24"/>
        </w:rPr>
        <w:t xml:space="preserve">in</w:t>
      </w:r>
      <w:r>
        <w:rPr>
          <w:rFonts w:ascii="Times New Roman" w:hAnsi="Times New Roman" w:cs="Times New Roman" w:eastAsia="Times New Roman"/>
          <w:color w:val="000000"/>
          <w:spacing w:val="-17"/>
          <w:sz w:val="24"/>
        </w:rPr>
        <w:t xml:space="preserve"> </w:t>
      </w:r>
      <w:r>
        <w:rPr>
          <w:rFonts w:ascii="Times New Roman" w:hAnsi="Times New Roman" w:cs="Times New Roman" w:eastAsia="Times New Roman"/>
          <w:color w:val="000000"/>
          <w:sz w:val="24"/>
        </w:rPr>
        <w:t xml:space="preserve">qualità</w:t>
      </w:r>
      <w:r>
        <w:rPr>
          <w:rFonts w:ascii="Times New Roman" w:hAnsi="Times New Roman" w:cs="Times New Roman" w:eastAsia="Times New Roman"/>
          <w:color w:val="000000"/>
          <w:spacing w:val="-16"/>
          <w:sz w:val="24"/>
        </w:rPr>
        <w:t xml:space="preserve"> </w:t>
      </w:r>
      <w:r>
        <w:rPr>
          <w:rFonts w:ascii="Times New Roman" w:hAnsi="Times New Roman" w:cs="Times New Roman" w:eastAsia="Times New Roman"/>
          <w:color w:val="000000"/>
          <w:sz w:val="24"/>
        </w:rPr>
        <w:t xml:space="preserve">di</w:t>
      </w:r>
      <w:r>
        <w:rPr>
          <w:rFonts w:ascii="Times New Roman" w:hAnsi="Times New Roman" w:cs="Times New Roman" w:eastAsia="Times New Roman"/>
          <w:color w:val="000000"/>
          <w:spacing w:val="-17"/>
          <w:sz w:val="24"/>
        </w:rPr>
        <w:t xml:space="preserve"> </w:t>
      </w:r>
      <w:r>
        <w:rPr>
          <w:rFonts w:ascii="Times New Roman" w:hAnsi="Times New Roman" w:cs="Times New Roman" w:eastAsia="Times New Roman"/>
          <w:color w:val="000000"/>
          <w:sz w:val="24"/>
        </w:rPr>
        <w:t xml:space="preserve">Vice</w:t>
      </w:r>
      <w:r>
        <w:rPr>
          <w:rFonts w:ascii="Times New Roman" w:hAnsi="Times New Roman" w:cs="Times New Roman" w:eastAsia="Times New Roman"/>
          <w:color w:val="000000"/>
          <w:spacing w:val="-17"/>
          <w:sz w:val="24"/>
        </w:rPr>
        <w:t xml:space="preserve"> </w:t>
      </w:r>
      <w:r>
        <w:rPr>
          <w:rFonts w:ascii="Times New Roman" w:hAnsi="Times New Roman" w:cs="Times New Roman" w:eastAsia="Times New Roman"/>
          <w:color w:val="000000"/>
          <w:sz w:val="24"/>
        </w:rPr>
        <w:t xml:space="preserve">Commissario</w:t>
      </w:r>
      <w:r>
        <w:rPr>
          <w:rFonts w:ascii="Times New Roman" w:hAnsi="Times New Roman" w:cs="Times New Roman" w:eastAsia="Times New Roman"/>
          <w:color w:val="000000"/>
          <w:spacing w:val="-17"/>
          <w:sz w:val="24"/>
        </w:rPr>
        <w:t xml:space="preserve"> </w:t>
      </w:r>
      <w:r>
        <w:rPr>
          <w:rFonts w:ascii="Times New Roman" w:hAnsi="Times New Roman" w:cs="Times New Roman" w:eastAsia="Times New Roman"/>
          <w:color w:val="000000"/>
          <w:sz w:val="24"/>
        </w:rPr>
        <w:t xml:space="preserve">delegato</w:t>
      </w:r>
      <w:r>
        <w:rPr>
          <w:rFonts w:ascii="Times New Roman" w:hAnsi="Times New Roman" w:cs="Times New Roman" w:eastAsia="Times New Roman"/>
          <w:color w:val="000000"/>
          <w:spacing w:val="-16"/>
          <w:sz w:val="24"/>
        </w:rPr>
        <w:t xml:space="preserve"> </w:t>
      </w:r>
      <w:r>
        <w:rPr>
          <w:rFonts w:ascii="Times New Roman" w:hAnsi="Times New Roman" w:cs="Times New Roman" w:eastAsia="Times New Roman"/>
          <w:color w:val="000000"/>
          <w:sz w:val="24"/>
        </w:rPr>
        <w:t xml:space="preserve">per</w:t>
      </w:r>
      <w:r>
        <w:rPr>
          <w:rFonts w:ascii="Times New Roman" w:hAnsi="Times New Roman" w:cs="Times New Roman" w:eastAsia="Times New Roman"/>
          <w:color w:val="000000"/>
          <w:spacing w:val="-17"/>
          <w:sz w:val="24"/>
        </w:rPr>
        <w:t xml:space="preserve"> </w:t>
      </w:r>
      <w:r>
        <w:rPr>
          <w:rFonts w:ascii="Times New Roman" w:hAnsi="Times New Roman" w:cs="Times New Roman" w:eastAsia="Times New Roman"/>
          <w:color w:val="000000"/>
          <w:sz w:val="24"/>
        </w:rPr>
        <w:t xml:space="preserve">gli</w:t>
      </w:r>
      <w:r>
        <w:rPr>
          <w:rFonts w:ascii="Times New Roman" w:hAnsi="Times New Roman" w:cs="Times New Roman" w:eastAsia="Times New Roman"/>
          <w:color w:val="000000"/>
          <w:spacing w:val="-17"/>
          <w:sz w:val="24"/>
        </w:rPr>
        <w:t xml:space="preserve"> </w:t>
      </w:r>
      <w:r>
        <w:rPr>
          <w:rFonts w:ascii="Times New Roman" w:hAnsi="Times New Roman" w:cs="Times New Roman" w:eastAsia="Times New Roman"/>
          <w:color w:val="000000"/>
          <w:sz w:val="24"/>
        </w:rPr>
        <w:t xml:space="preserve">interventi</w:t>
      </w:r>
      <w:r>
        <w:rPr>
          <w:rFonts w:ascii="Times New Roman" w:hAnsi="Times New Roman" w:cs="Times New Roman" w:eastAsia="Times New Roman"/>
          <w:color w:val="000000"/>
          <w:spacing w:val="-16"/>
          <w:sz w:val="24"/>
        </w:rPr>
        <w:t xml:space="preserve"> </w:t>
      </w:r>
      <w:r>
        <w:rPr>
          <w:rFonts w:ascii="Times New Roman" w:hAnsi="Times New Roman" w:cs="Times New Roman" w:eastAsia="Times New Roman"/>
          <w:color w:val="000000"/>
          <w:sz w:val="24"/>
        </w:rPr>
        <w:t xml:space="preserve">di</w:t>
      </w:r>
      <w:r>
        <w:rPr>
          <w:rFonts w:ascii="Times New Roman" w:hAnsi="Times New Roman" w:cs="Times New Roman" w:eastAsia="Times New Roman"/>
          <w:color w:val="000000"/>
          <w:spacing w:val="-17"/>
          <w:sz w:val="24"/>
        </w:rPr>
        <w:t xml:space="preserve"> </w:t>
      </w:r>
      <w:r>
        <w:rPr>
          <w:rFonts w:ascii="Times New Roman" w:hAnsi="Times New Roman" w:cs="Times New Roman" w:eastAsia="Times New Roman"/>
          <w:color w:val="000000"/>
          <w:sz w:val="24"/>
        </w:rPr>
        <w:t xml:space="preserve">ricostruzione</w:t>
      </w:r>
      <w:r>
        <w:rPr>
          <w:rFonts w:ascii="Times New Roman" w:hAnsi="Times New Roman" w:cs="Times New Roman" w:eastAsia="Times New Roman"/>
          <w:color w:val="000000"/>
          <w:spacing w:val="-17"/>
          <w:sz w:val="24"/>
        </w:rPr>
        <w:t xml:space="preserve"> </w:t>
      </w:r>
      <w:r>
        <w:rPr>
          <w:rFonts w:ascii="Times New Roman" w:hAnsi="Times New Roman" w:cs="Times New Roman" w:eastAsia="Times New Roman"/>
          <w:color w:val="000000"/>
          <w:sz w:val="24"/>
        </w:rPr>
        <w:t xml:space="preserve">post</w:t>
      </w:r>
      <w:r>
        <w:rPr>
          <w:rFonts w:ascii="Times New Roman" w:hAnsi="Times New Roman" w:cs="Times New Roman" w:eastAsia="Times New Roman"/>
          <w:color w:val="000000"/>
          <w:spacing w:val="-16"/>
          <w:sz w:val="24"/>
        </w:rPr>
        <w:t xml:space="preserve"> </w:t>
      </w:r>
      <w:r>
        <w:rPr>
          <w:rFonts w:ascii="Times New Roman" w:hAnsi="Times New Roman" w:cs="Times New Roman" w:eastAsia="Times New Roman"/>
          <w:color w:val="000000"/>
          <w:sz w:val="24"/>
        </w:rPr>
        <w:t xml:space="preserve">sisma 2016, con proprio Decreto n. 2/VCOMMS16 del 05/01/2018, ha disposto la delega, agli enti locali interessati, delle funzioni di “Soggetto Attuatore” degli interventi di ricostruzione contenuti nei piani predisposti dal Commissario straordinario, in pa</w:t>
      </w:r>
      <w:r>
        <w:rPr>
          <w:rFonts w:ascii="Times New Roman" w:hAnsi="Times New Roman" w:cs="Times New Roman" w:eastAsia="Times New Roman"/>
          <w:color w:val="000000"/>
          <w:sz w:val="24"/>
        </w:rPr>
        <w:t xml:space="preserve">rticolare con riguardo alle opere pubbliche e ai beni culturali di loro rispettiva competenza;</w:t>
      </w:r>
      <w:r>
        <w:rPr>
          <w:rFonts w:ascii="Times New Roman" w:hAnsi="Times New Roman" w:cs="Times New Roman" w:eastAsia="Times New Roman"/>
          <w:sz w:val="24"/>
        </w:rPr>
      </w:r>
      <w:r/>
    </w:p>
    <w:p>
      <w:pPr>
        <w:ind w:left="112" w:right="107" w:firstLine="0"/>
        <w:jc w:val="both"/>
        <w:spacing w:before="0" w:after="0"/>
        <w:tabs>
          <w:tab w:val="left" w:pos="284"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il Comune di Osimo, pertanto, quale soggetto attuatore degli interventi indicati nelle sopracitate Ordinanze n. 109/2021 e n. 137/2023, deve porre in essere tutti i procedimenti di propria competenza necessari alla realizzazione dei medesimi interventi;</w:t>
      </w:r>
      <w:r>
        <w:rPr>
          <w:rFonts w:ascii="Times New Roman" w:hAnsi="Times New Roman" w:cs="Times New Roman" w:eastAsia="Times New Roman"/>
          <w:sz w:val="24"/>
        </w:rPr>
      </w:r>
      <w:r/>
    </w:p>
    <w:p>
      <w:pPr>
        <w:ind w:left="0" w:right="107" w:firstLine="0"/>
        <w:jc w:val="both"/>
        <w:spacing w:before="0" w:after="0"/>
        <w:tabs>
          <w:tab w:val="left" w:pos="284"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PRESO ATTO</w:t>
      </w:r>
      <w:r>
        <w:rPr>
          <w:rFonts w:ascii="Times New Roman" w:hAnsi="Times New Roman" w:cs="Times New Roman" w:eastAsia="Times New Roman"/>
          <w:color w:val="000000"/>
          <w:sz w:val="24"/>
        </w:rPr>
        <w:t xml:space="preserve"> che in</w:t>
      </w:r>
      <w:r>
        <w:rPr>
          <w:rFonts w:ascii="Times New Roman" w:hAnsi="Times New Roman" w:cs="Times New Roman" w:eastAsia="Times New Roman"/>
          <w:color w:val="000000"/>
          <w:spacing w:val="7"/>
          <w:sz w:val="24"/>
        </w:rPr>
        <w:t xml:space="preserve"> </w:t>
      </w:r>
      <w:r>
        <w:rPr>
          <w:rFonts w:ascii="Times New Roman" w:hAnsi="Times New Roman" w:cs="Times New Roman" w:eastAsia="Times New Roman"/>
          <w:color w:val="000000"/>
          <w:sz w:val="24"/>
        </w:rPr>
        <w:t xml:space="preserve">data</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01.04.2023</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è</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entrato</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in</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vigore, con efficacia dall’01/07/2023,</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il</w:t>
      </w:r>
      <w:r>
        <w:rPr>
          <w:rFonts w:ascii="Times New Roman" w:hAnsi="Times New Roman" w:cs="Times New Roman" w:eastAsia="Times New Roman"/>
          <w:color w:val="000000"/>
          <w:spacing w:val="9"/>
          <w:sz w:val="24"/>
        </w:rPr>
        <w:t xml:space="preserve"> </w:t>
      </w:r>
      <w:r>
        <w:rPr>
          <w:rFonts w:ascii="Times New Roman" w:hAnsi="Times New Roman" w:cs="Times New Roman" w:eastAsia="Times New Roman"/>
          <w:color w:val="000000"/>
          <w:sz w:val="24"/>
        </w:rPr>
        <w:t xml:space="preserve">nuovo</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Codice</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dei</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contratti</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pubblici</w:t>
      </w:r>
      <w:r>
        <w:rPr>
          <w:rFonts w:ascii="Times New Roman" w:hAnsi="Times New Roman" w:cs="Times New Roman" w:eastAsia="Times New Roman"/>
          <w:color w:val="000000"/>
          <w:spacing w:val="12"/>
          <w:sz w:val="24"/>
        </w:rPr>
        <w:t xml:space="preserve"> di cui al D</w:t>
      </w:r>
      <w:r>
        <w:rPr>
          <w:rFonts w:ascii="Times New Roman" w:hAnsi="Times New Roman" w:cs="Times New Roman" w:eastAsia="Times New Roman"/>
          <w:color w:val="000000"/>
          <w:sz w:val="24"/>
        </w:rPr>
        <w:t xml:space="preserve">.Lgs.</w:t>
      </w:r>
      <w:r>
        <w:rPr>
          <w:rFonts w:ascii="Times New Roman" w:hAnsi="Times New Roman" w:cs="Times New Roman" w:eastAsia="Times New Roman"/>
          <w:color w:val="000000"/>
          <w:spacing w:val="11"/>
          <w:sz w:val="24"/>
        </w:rPr>
        <w:t xml:space="preserve"> </w:t>
      </w:r>
      <w:r>
        <w:rPr>
          <w:rFonts w:ascii="Times New Roman" w:hAnsi="Times New Roman" w:cs="Times New Roman" w:eastAsia="Times New Roman"/>
          <w:color w:val="000000"/>
          <w:spacing w:val="-2"/>
          <w:sz w:val="24"/>
        </w:rPr>
        <w:t xml:space="preserve">31.03.2023 </w:t>
      </w:r>
      <w:r>
        <w:rPr>
          <w:rFonts w:ascii="Times New Roman" w:hAnsi="Times New Roman" w:cs="Times New Roman" w:eastAsia="Times New Roman"/>
          <w:color w:val="000000"/>
          <w:sz w:val="24"/>
        </w:rPr>
        <w:t xml:space="preserve">n. 36 (di seguito: Codice), che ha introdotto la riforma del sistema di qualificazione delle Stazioni Appaltanti e delle Centrali di Committenza ai sensi degli artt. nn. 62, 63 e dell’allegato II.4 del Codice;</w:t>
      </w:r>
      <w:r>
        <w:rPr>
          <w:rFonts w:ascii="Times New Roman" w:hAnsi="Times New Roman" w:cs="Times New Roman" w:eastAsia="Times New Roman"/>
          <w:sz w:val="24"/>
        </w:rPr>
      </w:r>
      <w:r/>
    </w:p>
    <w:p>
      <w:pPr>
        <w:ind w:left="0" w:right="0"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 </w:t>
      </w:r>
      <w:r>
        <w:rPr>
          <w:rFonts w:ascii="Times New Roman" w:hAnsi="Times New Roman" w:cs="Times New Roman" w:eastAsia="Times New Roman"/>
          <w:sz w:val="24"/>
        </w:rPr>
      </w:r>
      <w:r/>
    </w:p>
    <w:p>
      <w:pPr>
        <w:ind w:left="0" w:right="0"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VISTO</w:t>
      </w:r>
      <w:r>
        <w:rPr>
          <w:rFonts w:ascii="Times New Roman" w:hAnsi="Times New Roman" w:cs="Times New Roman" w:eastAsia="Times New Roman"/>
          <w:i/>
          <w:color w:val="000000"/>
          <w:sz w:val="24"/>
        </w:rPr>
        <w:t xml:space="preserve"> </w:t>
      </w:r>
      <w:r>
        <w:rPr>
          <w:rFonts w:ascii="Times New Roman" w:hAnsi="Times New Roman" w:cs="Times New Roman" w:eastAsia="Times New Roman"/>
          <w:color w:val="000000"/>
          <w:sz w:val="24"/>
        </w:rPr>
        <w:t xml:space="preserve">l’art. 62 del Codice che, ai commi 1 e 2, così dispone: </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“1. Tutte le stazioni appaltanti, fermi restando gli obblighi di utilizzo di strumenti di acquisto e di negoziazione previsti dalle vigenti disposizioni in materia di contenimento della spesa, possono procedere direttamente e autonomamente all'acquisizione</w:t>
      </w:r>
      <w:r>
        <w:rPr>
          <w:rFonts w:ascii="Times New Roman" w:hAnsi="Times New Roman" w:cs="Times New Roman" w:eastAsia="Times New Roman"/>
          <w:i/>
          <w:color w:val="000000"/>
          <w:sz w:val="24"/>
        </w:rPr>
        <w:t xml:space="preserve"> di forniture e servizi di importo non superiore alle soglie previste per gli affidamenti diretti, e all’affidamento di lavori d’importo pari o inferiore a 500.000 euro. Possono, altresì, effettuare ordini a valere su strumenti di acquisto messi a disposiz</w:t>
      </w:r>
      <w:r>
        <w:rPr>
          <w:rFonts w:ascii="Times New Roman" w:hAnsi="Times New Roman" w:cs="Times New Roman" w:eastAsia="Times New Roman"/>
          <w:i/>
          <w:color w:val="000000"/>
          <w:sz w:val="24"/>
        </w:rPr>
        <w:t xml:space="preserve">ione dalle centrali di committenza qualificate e dai soggetti aggregatori.</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2. Per effettuare le gare di importo superiore alle soglie indicate dal comma 1, le stazioni appaltanti devono essere qualificate ai sensi dell’articolo 63 e dell’allegato II.4. Per le gare di cui al primo periodo, l’ANAC non rilascia il codice identificat</w:t>
      </w:r>
      <w:r>
        <w:rPr>
          <w:rFonts w:ascii="Times New Roman" w:hAnsi="Times New Roman" w:cs="Times New Roman" w:eastAsia="Times New Roman"/>
          <w:i/>
          <w:color w:val="000000"/>
          <w:sz w:val="24"/>
        </w:rPr>
        <w:t xml:space="preserve">ivo di gara (CIG) alle stazioni appaltanti non qualificate.”;</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DATO ATTO </w:t>
      </w:r>
      <w:r>
        <w:rPr>
          <w:rFonts w:ascii="Times New Roman" w:hAnsi="Times New Roman" w:cs="Times New Roman" w:eastAsia="Times New Roman"/>
          <w:color w:val="000000"/>
          <w:sz w:val="24"/>
        </w:rPr>
        <w:t xml:space="preserve">che il Comune di Osimo non è in possesso della qualificazione per la fase di “progettazione tecnico-amministrativa e affidamento delle procedure” e pertanto non può procedere autonomamente all’acquisizione di lavori, servizi e forniture di importo superior</w:t>
      </w:r>
      <w:r>
        <w:rPr>
          <w:rFonts w:ascii="Times New Roman" w:hAnsi="Times New Roman" w:cs="Times New Roman" w:eastAsia="Times New Roman"/>
          <w:color w:val="000000"/>
          <w:sz w:val="24"/>
        </w:rPr>
        <w:t xml:space="preserve">e alle soglie sopra indicate, mentre è qualificato per la fase di “esecuzione dei contratti”;</w:t>
      </w:r>
      <w:r>
        <w:rPr>
          <w:rFonts w:ascii="Times New Roman" w:hAnsi="Times New Roman" w:cs="Times New Roman" w:eastAsia="Times New Roman"/>
          <w:sz w:val="24"/>
        </w:rPr>
      </w:r>
      <w:r/>
    </w:p>
    <w:p>
      <w:pPr>
        <w:ind w:left="0" w:right="0"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VISTO</w:t>
      </w:r>
      <w:r>
        <w:rPr>
          <w:rFonts w:ascii="Times New Roman" w:hAnsi="Times New Roman" w:cs="Times New Roman" w:eastAsia="Times New Roman"/>
          <w:color w:val="000000"/>
          <w:sz w:val="24"/>
        </w:rPr>
        <w:t xml:space="preserve"> l’art. 62, comma 6, lett. a), b) e c) del Codice, secondo cui: </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“6. Le stazioni appaltanti non qualificate ai sensi del comma 2 dell’articolo 63, fatto salvo quanto previsto al comma 1, del presente articolo:</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a) procedono all’acquisizione di forniture, servizi e lavori ricorrendo a una stazione appaltante o centrale di committenza qualificata;</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b) ricorrono per attività di committenza ausiliaria a centrali di committenza qualificate e a stazioni appaltanti qualificate;</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c) procedono ad affidamenti di appalti di servizi e forniture di importo inferiore alla soglia europea di cui ai commi 1 e 2 dell’articolo 14 nonché ad affidamenti di lavori di manutenzione ordinaria d’importo inferiore a 1 milione di euro mediante utilizz</w:t>
      </w:r>
      <w:r>
        <w:rPr>
          <w:rFonts w:ascii="Times New Roman" w:hAnsi="Times New Roman" w:cs="Times New Roman" w:eastAsia="Times New Roman"/>
          <w:i/>
          <w:color w:val="000000"/>
          <w:sz w:val="24"/>
        </w:rPr>
        <w:t xml:space="preserve">o autonomo degli strumenti telematici di negoziazione messi a disposizione dalle centrali di committenza qualificate secondo la normativa vigente.”;</w:t>
      </w:r>
      <w:r>
        <w:rPr>
          <w:rFonts w:ascii="Times New Roman" w:hAnsi="Times New Roman" w:cs="Times New Roman" w:eastAsia="Times New Roman"/>
          <w:sz w:val="24"/>
        </w:rPr>
      </w:r>
      <w:r/>
    </w:p>
    <w:p>
      <w:pPr>
        <w:ind w:left="0" w:right="0"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 </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ab/>
      </w:r>
      <w:r>
        <w:rPr>
          <w:rFonts w:ascii="Times New Roman" w:hAnsi="Times New Roman" w:cs="Times New Roman" w:eastAsia="Times New Roman"/>
          <w:b/>
          <w:color w:val="000000"/>
          <w:sz w:val="24"/>
        </w:rPr>
        <w:t xml:space="preserve">VISTO</w:t>
      </w:r>
      <w:r>
        <w:rPr>
          <w:rFonts w:ascii="Times New Roman" w:hAnsi="Times New Roman" w:cs="Times New Roman" w:eastAsia="Times New Roman"/>
          <w:color w:val="000000"/>
          <w:sz w:val="24"/>
        </w:rPr>
        <w:t xml:space="preserve"> altresì il comma 11 dell’art. 62 del Codice, secondo cui:</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“11. Le centrali di committenza qualificate e le stazioni appaltanti qualificate per i livelli di cui all'articolo 63, comma 2, lettere b) e c) possono svolgere, in relazione ai requisiti di qualificazione posseduti, attività di committenza ausiliarie in f</w:t>
      </w:r>
      <w:r>
        <w:rPr>
          <w:rFonts w:ascii="Times New Roman" w:hAnsi="Times New Roman" w:cs="Times New Roman" w:eastAsia="Times New Roman"/>
          <w:i/>
          <w:color w:val="000000"/>
          <w:sz w:val="24"/>
        </w:rPr>
        <w:t xml:space="preserve">avore di altre centrali di committenza o per una o più stazioni appaltanti senza vincolo territoriale con le modalità di cui al comma 9, primo periodo. Resta fermo quanto previsto dall'articolo 9 del decreto-legge 24 aprile 2014, n. 66 convertito, con modi</w:t>
      </w:r>
      <w:r>
        <w:rPr>
          <w:rFonts w:ascii="Times New Roman" w:hAnsi="Times New Roman" w:cs="Times New Roman" w:eastAsia="Times New Roman"/>
          <w:i/>
          <w:color w:val="000000"/>
          <w:sz w:val="24"/>
        </w:rPr>
        <w:t xml:space="preserve">ficazioni, dalla legge 23 giugno 2014, n. 89. Al di fuori dei casi di cui al primo periodo, le stazioni appaltanti possono ricorrere, per le attività di committenza ausiliarie, ad esclusione delle attività di cui all'articolo 3, comma 1, lettera z), punto </w:t>
      </w:r>
      <w:r>
        <w:rPr>
          <w:rFonts w:ascii="Times New Roman" w:hAnsi="Times New Roman" w:cs="Times New Roman" w:eastAsia="Times New Roman"/>
          <w:i/>
          <w:color w:val="000000"/>
          <w:sz w:val="24"/>
        </w:rPr>
        <w:t xml:space="preserve">4, dell'allegato I.1, a prestatori di servizi individuati attraverso le procedure di cui al codice.”;</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ab/>
      </w:r>
      <w:r>
        <w:rPr>
          <w:rFonts w:ascii="Times New Roman" w:hAnsi="Times New Roman" w:cs="Times New Roman" w:eastAsia="Times New Roman"/>
          <w:b/>
          <w:color w:val="000000"/>
          <w:sz w:val="24"/>
        </w:rPr>
        <w:t xml:space="preserve">VISTO</w:t>
      </w:r>
      <w:r>
        <w:rPr>
          <w:rFonts w:ascii="Times New Roman" w:hAnsi="Times New Roman" w:cs="Times New Roman" w:eastAsia="Times New Roman"/>
          <w:color w:val="000000"/>
          <w:sz w:val="24"/>
        </w:rPr>
        <w:t xml:space="preserve"> l’art. 3, comma 1, lettera z), punto 4, dell'Allegato I.1 del Codice che fornisce la seguente definizione delle “attività di committenza ausiliaria”:</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“le attività che consistono nella prestazione di supporto alle attività di committenza, in particolare nelle forme seguenti:</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1) infrastrutture tecniche che consentano alle stazioni appaltanti di aggiudicare appalti pubblici o di concludere accordi quadro per lavori, forniture o servizi;</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2) consulenza sullo svolgimento o sulla progettazione delle procedure di appalto;</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3) preparazione delle procedure di appalto in nome e per conto della stazione appaltante interessata;</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4) gestione delle procedure di appalto in nome e per conto della stazione appaltante interessata;”;</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08" w:firstLine="709"/>
        <w:jc w:val="both"/>
        <w:spacing w:before="0" w:after="0"/>
        <w:tabs>
          <w:tab w:val="left" w:pos="419"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VISTO</w:t>
      </w:r>
      <w:r>
        <w:rPr>
          <w:rFonts w:ascii="Times New Roman" w:hAnsi="Times New Roman" w:cs="Times New Roman" w:eastAsia="Times New Roman"/>
          <w:color w:val="000000"/>
          <w:sz w:val="24"/>
        </w:rPr>
        <w:t xml:space="preserve"> l’art. 62, comma 9 del Codice, che così dispone: </w:t>
      </w:r>
      <w:r>
        <w:rPr>
          <w:rFonts w:ascii="Times New Roman" w:hAnsi="Times New Roman" w:cs="Times New Roman" w:eastAsia="Times New Roman"/>
          <w:sz w:val="24"/>
        </w:rPr>
      </w:r>
      <w:r/>
    </w:p>
    <w:p>
      <w:pPr>
        <w:ind w:left="0" w:right="108" w:firstLine="0"/>
        <w:jc w:val="both"/>
        <w:spacing w:before="0" w:after="0"/>
        <w:tabs>
          <w:tab w:val="left" w:pos="419"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“9. Il ricorso alla stazione appaltante qualificata o alla centrale di committenza qualificata è formalizzato mediante un accordo ai sensi dell'articolo 30 del testo unico delle leggi sull'ordinamento degli enti locali, di cui al decreto legislativo 18 ago</w:t>
      </w:r>
      <w:r>
        <w:rPr>
          <w:rFonts w:ascii="Times New Roman" w:hAnsi="Times New Roman" w:cs="Times New Roman" w:eastAsia="Times New Roman"/>
          <w:i/>
          <w:color w:val="000000"/>
          <w:sz w:val="24"/>
        </w:rPr>
        <w:t xml:space="preserve">sto 2000, n. 267, o ai sensi dell'articolo 15 della legge 7 agosto 1990, n. 241, o mediante apposita convenzione. ...(omissis)…”;</w:t>
      </w:r>
      <w:r>
        <w:rPr>
          <w:rFonts w:ascii="Times New Roman" w:hAnsi="Times New Roman" w:cs="Times New Roman" w:eastAsia="Times New Roman"/>
          <w:sz w:val="24"/>
        </w:rPr>
      </w:r>
      <w:r/>
    </w:p>
    <w:p>
      <w:pPr>
        <w:ind w:left="0" w:right="112" w:firstLine="0"/>
        <w:jc w:val="both"/>
        <w:spacing w:before="0" w:after="0"/>
        <w:tabs>
          <w:tab w:val="left" w:pos="42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19"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DATO ATTO</w:t>
      </w:r>
      <w:r>
        <w:rPr>
          <w:rFonts w:ascii="Times New Roman" w:hAnsi="Times New Roman" w:cs="Times New Roman" w:eastAsia="Times New Roman"/>
          <w:color w:val="000000"/>
          <w:sz w:val="24"/>
        </w:rPr>
        <w:t xml:space="preserve"> che l’Ufficio Speciale per la Ricostruzione (U.S.R.) della Regione Marche, con nota acquisita al protocollo comunale n. 28406 del 14/08/2025, ha comunicato che la Giunta Regione Marche ha adottato le seguenti deliberazioni con le quali ha approvato gli sc</w:t>
      </w:r>
      <w:r>
        <w:rPr>
          <w:rFonts w:ascii="Times New Roman" w:hAnsi="Times New Roman" w:cs="Times New Roman" w:eastAsia="Times New Roman"/>
          <w:color w:val="000000"/>
          <w:sz w:val="24"/>
        </w:rPr>
        <w:t xml:space="preserve">hemi di convenzione per lo svolgimento, da parte dell’U.S.R., delle attività di centrale di committenza e di committenza ausiliaria a favore delle Amministrazioni assegnatarie di finanziamenti sisma:</w:t>
      </w:r>
      <w:r>
        <w:rPr>
          <w:rFonts w:ascii="Times New Roman" w:hAnsi="Times New Roman" w:cs="Times New Roman" w:eastAsia="Times New Roman"/>
          <w:sz w:val="24"/>
        </w:rPr>
      </w:r>
      <w:r/>
    </w:p>
    <w:p>
      <w:pPr>
        <w:ind w:left="0" w:right="119" w:firstLine="0"/>
        <w:jc w:val="both"/>
        <w:spacing w:before="0" w:after="0"/>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D.G.R. n.</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1373 dell’11/08/2025 avente per oggetto: “</w:t>
      </w:r>
      <w:r>
        <w:rPr>
          <w:rFonts w:ascii="Times New Roman" w:hAnsi="Times New Roman" w:cs="Times New Roman" w:eastAsia="Times New Roman"/>
          <w:i/>
          <w:color w:val="000000"/>
          <w:sz w:val="24"/>
        </w:rPr>
        <w:t xml:space="preserve">Approvazione schema di convenzione da stipularsi ai sensi dell’art. 15 della Legge n. 241/1990 inerente i rapporti tra la Centrale Unica di Committenza (CUC) Ufficio Speciale</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per</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la</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Ricostruzione</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post</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sisma</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per</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la</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Regione</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Marche</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ed</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i</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soggetti</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pubblici all’interno dell’area del cratere sismico 2016 e 2022, assegnatari di finanziamenti sisma, compresi i fondi PNRR e PNC, che si avvalgono delle forme di aggregazione di</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cui</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all’art.</w:t>
      </w:r>
      <w:r>
        <w:rPr>
          <w:rFonts w:ascii="Times New Roman" w:hAnsi="Times New Roman" w:cs="Times New Roman" w:eastAsia="Times New Roman"/>
          <w:i/>
          <w:color w:val="000000"/>
          <w:spacing w:val="-8"/>
          <w:sz w:val="24"/>
        </w:rPr>
        <w:t xml:space="preserve"> </w:t>
      </w:r>
      <w:r>
        <w:rPr>
          <w:rFonts w:ascii="Times New Roman" w:hAnsi="Times New Roman" w:cs="Times New Roman" w:eastAsia="Times New Roman"/>
          <w:i/>
          <w:color w:val="000000"/>
          <w:sz w:val="24"/>
        </w:rPr>
        <w:t xml:space="preserve">62,</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d.</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Lgs.</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N.</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36/2023</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e</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ss.mm.ii.,</w:t>
      </w:r>
      <w:r>
        <w:rPr>
          <w:rFonts w:ascii="Times New Roman" w:hAnsi="Times New Roman" w:cs="Times New Roman" w:eastAsia="Times New Roman"/>
          <w:i/>
          <w:color w:val="000000"/>
          <w:spacing w:val="-8"/>
          <w:sz w:val="24"/>
        </w:rPr>
        <w:t xml:space="preserve"> </w:t>
      </w:r>
      <w:r>
        <w:rPr>
          <w:rFonts w:ascii="Times New Roman" w:hAnsi="Times New Roman" w:cs="Times New Roman" w:eastAsia="Times New Roman"/>
          <w:i/>
          <w:color w:val="000000"/>
          <w:sz w:val="24"/>
        </w:rPr>
        <w:t xml:space="preserve">per</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l’affidamento</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di</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contratti</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di</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appalto, di partenariato pubblico-privato e di concessione di servizi, forniture, lavori pubblici e servizi tecnici attinenti all’ingegneria e l’architettura”;</w:t>
      </w:r>
      <w:r>
        <w:rPr>
          <w:rFonts w:ascii="Times New Roman" w:hAnsi="Times New Roman" w:cs="Times New Roman" w:eastAsia="Times New Roman"/>
          <w:sz w:val="24"/>
        </w:rPr>
      </w:r>
      <w:r/>
    </w:p>
    <w:p>
      <w:pPr>
        <w:ind w:left="0" w:right="119" w:firstLine="0"/>
        <w:jc w:val="both"/>
        <w:spacing w:before="0" w:after="0"/>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D.G.R. n. 1374 dell’11/08/2025 avente per oggetto: “</w:t>
      </w:r>
      <w:r>
        <w:rPr>
          <w:rFonts w:ascii="Times New Roman" w:hAnsi="Times New Roman" w:cs="Times New Roman" w:eastAsia="Times New Roman"/>
          <w:i/>
          <w:color w:val="000000"/>
          <w:sz w:val="24"/>
        </w:rPr>
        <w:t xml:space="preserve">Approvazione schema di convenzione da stipularsi ai sensi dell’art. 15 della Legge n. 241/1990 per lo svolgimento da parte dell’Ufficio Speciale per la Ricostruzione delle attività di committenza ausiliaria in favore delle amministrazioni che attuano gli i</w:t>
      </w:r>
      <w:r>
        <w:rPr>
          <w:rFonts w:ascii="Times New Roman" w:hAnsi="Times New Roman" w:cs="Times New Roman" w:eastAsia="Times New Roman"/>
          <w:i/>
          <w:color w:val="000000"/>
          <w:sz w:val="24"/>
        </w:rPr>
        <w:t xml:space="preserve">nterventi finanziati con i fondi sisma 2016 e sisma 2022 nonché con i fondi PNC e PNRR ai sensi degli artt. 62 e 63 del d.lgs. 36/2023 ss.mm.ii.”;</w:t>
      </w:r>
      <w:r>
        <w:rPr>
          <w:rFonts w:ascii="Times New Roman" w:hAnsi="Times New Roman" w:cs="Times New Roman" w:eastAsia="Times New Roman"/>
          <w:sz w:val="24"/>
        </w:rPr>
      </w:r>
      <w:r/>
    </w:p>
    <w:p>
      <w:pPr>
        <w:ind w:left="0" w:right="119" w:firstLine="0"/>
        <w:jc w:val="both"/>
        <w:spacing w:before="0" w:after="0"/>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12"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ab/>
      </w:r>
      <w:r>
        <w:rPr>
          <w:rFonts w:ascii="Times New Roman" w:hAnsi="Times New Roman" w:cs="Times New Roman" w:eastAsia="Times New Roman"/>
          <w:b/>
          <w:color w:val="000000"/>
          <w:sz w:val="24"/>
        </w:rPr>
        <w:t xml:space="preserve">DATO ATTO</w:t>
      </w:r>
      <w:r>
        <w:rPr>
          <w:rFonts w:ascii="Times New Roman" w:hAnsi="Times New Roman" w:cs="Times New Roman" w:eastAsia="Times New Roman"/>
          <w:color w:val="000000"/>
          <w:sz w:val="24"/>
        </w:rPr>
        <w:t xml:space="preserve"> altresì che, con successiva nota acquisita al protocollo comunale n. 34331 del 25/09/2025, l’U.S.R. ha ricordato ai RUP Sisma 2026 che il nuovo Codice dei contratti pubblici (D.Lgs. 36/2023) ha introdotto il sistema di qualificazione delle stazioni appalt</w:t>
      </w:r>
      <w:r>
        <w:rPr>
          <w:rFonts w:ascii="Times New Roman" w:hAnsi="Times New Roman" w:cs="Times New Roman" w:eastAsia="Times New Roman"/>
          <w:color w:val="000000"/>
          <w:sz w:val="24"/>
        </w:rPr>
        <w:t xml:space="preserve">anti, prevedendo che le amministrazioni prive dei requisiti possano ricorrere a centrali di committenza qualificate per le gare sopra determinate soglie e per attività di committenza ausiliaria ed ha precisato che “</w:t>
      </w:r>
      <w:r>
        <w:rPr>
          <w:rFonts w:ascii="Times New Roman" w:hAnsi="Times New Roman" w:cs="Times New Roman" w:eastAsia="Times New Roman"/>
          <w:i/>
          <w:color w:val="000000"/>
          <w:sz w:val="24"/>
        </w:rPr>
        <w:t xml:space="preserve">’Ufficio Speciale Ricostruzione, qualificato d’ufficio con livello massimo ai sensi dell’Ordinanza Commissariale n. 234 del 2 luglio 2025, è abilitato a svolgere tali funzioni anche per conto dei Comuni non qualificati</w:t>
      </w:r>
      <w:r>
        <w:rPr>
          <w:rFonts w:ascii="Times New Roman" w:hAnsi="Times New Roman" w:cs="Times New Roman" w:eastAsia="Times New Roman"/>
          <w:color w:val="000000"/>
          <w:sz w:val="24"/>
        </w:rPr>
        <w:t xml:space="preserve">”, ribadendo la piena disponibilità a garantire supporto operativo attraverso l’attivazione delle sopracitate convenzioni;</w:t>
      </w:r>
      <w:r>
        <w:rPr>
          <w:rFonts w:ascii="Times New Roman" w:hAnsi="Times New Roman" w:cs="Times New Roman" w:eastAsia="Times New Roman"/>
          <w:sz w:val="24"/>
        </w:rPr>
      </w:r>
      <w:r/>
    </w:p>
    <w:p>
      <w:pPr>
        <w:ind w:left="0" w:right="112"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12" w:firstLine="709"/>
        <w:jc w:val="both"/>
        <w:spacing w:before="0" w:after="0"/>
        <w:tabs>
          <w:tab w:val="left" w:pos="42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VISTE</w:t>
      </w:r>
      <w:r>
        <w:rPr>
          <w:rFonts w:ascii="Times New Roman" w:hAnsi="Times New Roman" w:cs="Times New Roman" w:eastAsia="Times New Roman"/>
          <w:color w:val="000000"/>
          <w:sz w:val="24"/>
        </w:rPr>
        <w:t xml:space="preserve"> le deliberazioni della Giunta Regione Marche nn. 1373 e 1374 dell’11/08/2025 e gli schemi di convenzione allegati alle medesime delibere;</w:t>
      </w:r>
      <w:r>
        <w:rPr>
          <w:rFonts w:ascii="Times New Roman" w:hAnsi="Times New Roman" w:cs="Times New Roman" w:eastAsia="Times New Roman"/>
          <w:sz w:val="24"/>
        </w:rPr>
      </w:r>
      <w:r/>
    </w:p>
    <w:p>
      <w:pPr>
        <w:ind w:left="0" w:right="112" w:firstLine="0"/>
        <w:jc w:val="both"/>
        <w:spacing w:before="0" w:after="0"/>
        <w:tabs>
          <w:tab w:val="left" w:pos="42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12" w:firstLine="709"/>
        <w:jc w:val="both"/>
        <w:spacing w:before="0" w:after="0"/>
        <w:tabs>
          <w:tab w:val="left" w:pos="42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VISTO</w:t>
      </w:r>
      <w:r>
        <w:rPr>
          <w:rFonts w:ascii="Times New Roman" w:hAnsi="Times New Roman" w:cs="Times New Roman" w:eastAsia="Times New Roman"/>
          <w:color w:val="000000"/>
          <w:sz w:val="24"/>
        </w:rPr>
        <w:t xml:space="preserve"> l’art. 1, comma 3, dell’Ordinanza del Commissario Straordinario del Governo n. 234 del 02/07/2025, che così dispone: “</w:t>
      </w:r>
      <w:r>
        <w:rPr>
          <w:rFonts w:ascii="Times New Roman" w:hAnsi="Times New Roman" w:cs="Times New Roman" w:eastAsia="Times New Roman"/>
          <w:i/>
          <w:color w:val="000000"/>
          <w:sz w:val="24"/>
        </w:rPr>
        <w:t xml:space="preserve">Nell’esercizio dei poteri di deroga previsti dalla legge, il regime transitorio del sistema di qualificazione delle stazioni appaltanti introdotto dall’articolo 2 dell’Ordinanza n. 145 del 28 giugno 2023 e confermato dalle Ordinanze n. 162 del 20 dicembre </w:t>
      </w:r>
      <w:r>
        <w:rPr>
          <w:rFonts w:ascii="Times New Roman" w:hAnsi="Times New Roman" w:cs="Times New Roman" w:eastAsia="Times New Roman"/>
          <w:i/>
          <w:color w:val="000000"/>
          <w:sz w:val="24"/>
        </w:rPr>
        <w:t xml:space="preserve">2023, n. 196 del 28 giugno 2024 e n. 214 del 23 dicembre 2024 è prorogato al 31 dicembre 2025, con esclusivo riferimento agli Uffici Speciali per la Ricostruzione</w:t>
      </w:r>
      <w:r>
        <w:rPr>
          <w:rFonts w:ascii="Times New Roman" w:hAnsi="Times New Roman" w:cs="Times New Roman" w:eastAsia="Times New Roman"/>
          <w:color w:val="000000"/>
          <w:sz w:val="24"/>
        </w:rPr>
        <w:t xml:space="preserve">.”;</w:t>
      </w:r>
      <w:r>
        <w:rPr>
          <w:rFonts w:ascii="Times New Roman" w:hAnsi="Times New Roman" w:cs="Times New Roman" w:eastAsia="Times New Roman"/>
          <w:sz w:val="24"/>
        </w:rPr>
      </w:r>
      <w:r/>
    </w:p>
    <w:p>
      <w:pPr>
        <w:ind w:left="0" w:right="112" w:firstLine="0"/>
        <w:jc w:val="both"/>
        <w:spacing w:before="0" w:after="0"/>
        <w:tabs>
          <w:tab w:val="left" w:pos="42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 </w:t>
      </w:r>
      <w:r>
        <w:rPr>
          <w:rFonts w:ascii="Times New Roman" w:hAnsi="Times New Roman" w:cs="Times New Roman" w:eastAsia="Times New Roman"/>
          <w:sz w:val="24"/>
        </w:rPr>
      </w:r>
      <w:r/>
    </w:p>
    <w:p>
      <w:pPr>
        <w:ind w:left="0" w:right="112" w:firstLine="0"/>
        <w:jc w:val="both"/>
        <w:spacing w:before="0" w:after="0"/>
        <w:tabs>
          <w:tab w:val="left" w:pos="709"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ab/>
        <w:t xml:space="preserve">PRESO ATTO </w:t>
      </w:r>
      <w:r>
        <w:rPr>
          <w:rFonts w:ascii="Times New Roman" w:hAnsi="Times New Roman" w:cs="Times New Roman" w:eastAsia="Times New Roman"/>
          <w:color w:val="000000"/>
          <w:sz w:val="24"/>
        </w:rPr>
        <w:t xml:space="preserve">che con la successiva Ordinanza n. 254 del 22 dicembre 2025 il suddetto regime transitorio del sistema di qualificazione delle stazioni appaltanti è stato prorogato sino al 31 dicembre 2026, sempre con esclusivo riferimento agli Uffici Speciali per la Rico</w:t>
      </w:r>
      <w:r>
        <w:rPr>
          <w:rFonts w:ascii="Times New Roman" w:hAnsi="Times New Roman" w:cs="Times New Roman" w:eastAsia="Times New Roman"/>
          <w:color w:val="000000"/>
          <w:sz w:val="24"/>
        </w:rPr>
        <w:t xml:space="preserve">struzione</w:t>
      </w:r>
      <w:r>
        <w:rPr>
          <w:rFonts w:ascii="Times New Roman" w:hAnsi="Times New Roman" w:cs="Times New Roman" w:eastAsia="Times New Roman"/>
          <w:b/>
          <w:color w:val="000000"/>
          <w:sz w:val="24"/>
        </w:rPr>
        <w:t xml:space="preserve">;</w:t>
      </w:r>
      <w:r>
        <w:rPr>
          <w:rFonts w:ascii="Times New Roman" w:hAnsi="Times New Roman" w:cs="Times New Roman" w:eastAsia="Times New Roman"/>
          <w:sz w:val="24"/>
        </w:rPr>
      </w:r>
      <w:r/>
    </w:p>
    <w:p>
      <w:pPr>
        <w:ind w:left="0" w:right="112" w:firstLine="709"/>
        <w:jc w:val="both"/>
        <w:spacing w:before="0" w:after="0"/>
        <w:tabs>
          <w:tab w:val="left" w:pos="42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 </w:t>
      </w:r>
      <w:r>
        <w:rPr>
          <w:rFonts w:ascii="Times New Roman" w:hAnsi="Times New Roman" w:cs="Times New Roman" w:eastAsia="Times New Roman"/>
          <w:sz w:val="24"/>
        </w:rPr>
      </w:r>
      <w:r/>
    </w:p>
    <w:p>
      <w:pPr>
        <w:ind w:left="0" w:right="140"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DATO ATTO </w:t>
      </w:r>
      <w:r>
        <w:rPr>
          <w:rFonts w:ascii="Times New Roman" w:hAnsi="Times New Roman" w:cs="Times New Roman" w:eastAsia="Times New Roman"/>
          <w:color w:val="000000"/>
          <w:sz w:val="24"/>
        </w:rPr>
        <w:t xml:space="preserve">che l’Ufficio Speciale per la Ricostruzione post sisma 2016 per la Regione Marche risulta iscritto di diritto nell’“</w:t>
      </w:r>
      <w:r>
        <w:rPr>
          <w:rFonts w:ascii="Times New Roman" w:hAnsi="Times New Roman" w:cs="Times New Roman" w:eastAsia="Times New Roman"/>
          <w:i/>
          <w:color w:val="000000"/>
          <w:sz w:val="24"/>
        </w:rPr>
        <w:t xml:space="preserve">Elenco delle stazioni appaltanti qualificate</w:t>
      </w:r>
      <w:r>
        <w:rPr>
          <w:rFonts w:ascii="Times New Roman" w:hAnsi="Times New Roman" w:cs="Times New Roman" w:eastAsia="Times New Roman"/>
          <w:color w:val="000000"/>
          <w:sz w:val="24"/>
        </w:rPr>
        <w:t xml:space="preserve">”, gestito dall’ANAC;</w:t>
      </w:r>
      <w:r>
        <w:rPr>
          <w:rFonts w:ascii="Times New Roman" w:hAnsi="Times New Roman" w:cs="Times New Roman" w:eastAsia="Times New Roman"/>
          <w:sz w:val="24"/>
        </w:rPr>
      </w:r>
      <w:r/>
    </w:p>
    <w:p>
      <w:pPr>
        <w:ind w:left="0" w:right="140" w:firstLine="0"/>
        <w:jc w:val="both"/>
        <w:spacing w:before="0" w:after="0"/>
        <w:tabs>
          <w:tab w:val="left" w:pos="538" w:leader="none"/>
          <w:tab w:val="left" w:pos="540"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i/>
          <w:color w:val="000000"/>
          <w:sz w:val="24"/>
        </w:rPr>
        <w:t xml:space="preserve"> </w:t>
      </w:r>
      <w:r>
        <w:rPr>
          <w:rFonts w:ascii="Times New Roman" w:hAnsi="Times New Roman" w:cs="Times New Roman" w:eastAsia="Times New Roman"/>
          <w:sz w:val="24"/>
        </w:rPr>
      </w:r>
      <w:r/>
    </w:p>
    <w:p>
      <w:pPr>
        <w:ind w:left="0" w:right="112" w:firstLine="709"/>
        <w:jc w:val="both"/>
        <w:spacing w:before="0" w:after="0"/>
        <w:tabs>
          <w:tab w:val="left" w:pos="42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PRESO ATTO</w:t>
      </w:r>
      <w:r>
        <w:rPr>
          <w:rFonts w:ascii="Times New Roman" w:hAnsi="Times New Roman" w:cs="Times New Roman" w:eastAsia="Times New Roman"/>
          <w:color w:val="000000"/>
          <w:sz w:val="24"/>
        </w:rPr>
        <w:t xml:space="preserve"> che:</w:t>
      </w:r>
      <w:r>
        <w:rPr>
          <w:rFonts w:ascii="Times New Roman" w:hAnsi="Times New Roman" w:cs="Times New Roman" w:eastAsia="Times New Roman"/>
          <w:sz w:val="24"/>
        </w:rPr>
      </w:r>
      <w:r/>
    </w:p>
    <w:p>
      <w:pPr>
        <w:ind w:left="0" w:right="139"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tra i compiti dell’Ufficio Speciale per la Ricostruzione insiste la ricostruzione pubblica come disciplinata dagli articoli 14 e seguenti del decreto-legge n. 189 del 2016;</w:t>
      </w:r>
      <w:r>
        <w:rPr>
          <w:rFonts w:ascii="Times New Roman" w:hAnsi="Times New Roman" w:cs="Times New Roman" w:eastAsia="Times New Roman"/>
          <w:sz w:val="24"/>
        </w:rPr>
      </w:r>
      <w:r/>
    </w:p>
    <w:p>
      <w:pPr>
        <w:ind w:left="0" w:right="139"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l’Ufficio Speciale per la Ricostruzione ha un concreto ed imminente interesse ad assicurare l’assolvimento di tutti gli adempimenti in conformità alla vigente normativa in tema di ricostruzione del patrimonio pubblico danneggiato dal sisma 2016;</w:t>
      </w:r>
      <w:r>
        <w:rPr>
          <w:rFonts w:ascii="Times New Roman" w:hAnsi="Times New Roman" w:cs="Times New Roman" w:eastAsia="Times New Roman"/>
          <w:sz w:val="24"/>
        </w:rPr>
      </w:r>
      <w:r/>
    </w:p>
    <w:p>
      <w:pPr>
        <w:ind w:left="0" w:right="139"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tale interesse, unitamente a quello di una celere definizione degli interventi di ricostruzione pubblica, è condiviso dal Comune di Osimo;</w:t>
      </w:r>
      <w:r>
        <w:rPr>
          <w:rFonts w:ascii="Times New Roman" w:hAnsi="Times New Roman" w:cs="Times New Roman" w:eastAsia="Times New Roman"/>
          <w:sz w:val="24"/>
        </w:rPr>
      </w:r>
      <w:r/>
    </w:p>
    <w:p>
      <w:pPr>
        <w:ind w:left="0" w:right="139"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l’Ufficio Speciale per la Ricostruzione, ai sensi di quanto disposto dall’articolo 3, del decreto legge n. 189 del 2016, rientra nel novero delle pubbliche amministrazioni di cui all’articolo 1, comma 2, del decreto legislativo n. 165 del 2001;</w:t>
      </w:r>
      <w:r>
        <w:rPr>
          <w:rFonts w:ascii="Times New Roman" w:hAnsi="Times New Roman" w:cs="Times New Roman" w:eastAsia="Times New Roman"/>
          <w:sz w:val="24"/>
        </w:rPr>
      </w:r>
      <w:r/>
    </w:p>
    <w:p>
      <w:pPr>
        <w:ind w:left="0" w:right="139"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l’art. 15 della Legge 7 agosto 1990 n. 241 consente alle pubbliche amministrazioni di concludere tra loro accordi per disciplinare lo svolgimento in collaborazione di attività di interesse comune;</w:t>
      </w:r>
      <w:r>
        <w:rPr>
          <w:rFonts w:ascii="Times New Roman" w:hAnsi="Times New Roman" w:cs="Times New Roman" w:eastAsia="Times New Roman"/>
          <w:sz w:val="24"/>
        </w:rPr>
      </w:r>
      <w:r/>
    </w:p>
    <w:p>
      <w:pPr>
        <w:ind w:left="0" w:right="138"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l’Ufficio Speciale Ricostruzione della Regione Marche costituisce l’interfaccia tecnico-amministrativa regionale più idonea ad assumere il ruolo di soggetto referente per l’espletamento</w:t>
      </w:r>
      <w:r>
        <w:rPr>
          <w:rFonts w:ascii="Times New Roman" w:hAnsi="Times New Roman" w:cs="Times New Roman" w:eastAsia="Times New Roman"/>
          <w:color w:val="000000"/>
          <w:spacing w:val="-12"/>
          <w:sz w:val="24"/>
        </w:rPr>
        <w:t xml:space="preserve"> </w:t>
      </w:r>
      <w:r>
        <w:rPr>
          <w:rFonts w:ascii="Times New Roman" w:hAnsi="Times New Roman" w:cs="Times New Roman" w:eastAsia="Times New Roman"/>
          <w:color w:val="000000"/>
          <w:sz w:val="24"/>
        </w:rPr>
        <w:t xml:space="preserve">delle</w:t>
      </w:r>
      <w:r>
        <w:rPr>
          <w:rFonts w:ascii="Times New Roman" w:hAnsi="Times New Roman" w:cs="Times New Roman" w:eastAsia="Times New Roman"/>
          <w:color w:val="000000"/>
          <w:spacing w:val="-13"/>
          <w:sz w:val="24"/>
        </w:rPr>
        <w:t xml:space="preserve"> </w:t>
      </w:r>
      <w:r>
        <w:rPr>
          <w:rFonts w:ascii="Times New Roman" w:hAnsi="Times New Roman" w:cs="Times New Roman" w:eastAsia="Times New Roman"/>
          <w:color w:val="000000"/>
          <w:sz w:val="24"/>
        </w:rPr>
        <w:t xml:space="preserve">gare</w:t>
      </w:r>
      <w:r>
        <w:rPr>
          <w:rFonts w:ascii="Times New Roman" w:hAnsi="Times New Roman" w:cs="Times New Roman" w:eastAsia="Times New Roman"/>
          <w:color w:val="000000"/>
          <w:spacing w:val="-13"/>
          <w:sz w:val="24"/>
        </w:rPr>
        <w:t xml:space="preserve"> </w:t>
      </w:r>
      <w:r>
        <w:rPr>
          <w:rFonts w:ascii="Times New Roman" w:hAnsi="Times New Roman" w:cs="Times New Roman" w:eastAsia="Times New Roman"/>
          <w:color w:val="000000"/>
          <w:sz w:val="24"/>
        </w:rPr>
        <w:t xml:space="preserve">pubbliche relative alla ricostruzione post-sisma,</w:t>
      </w:r>
      <w:r>
        <w:rPr>
          <w:rFonts w:ascii="Times New Roman" w:hAnsi="Times New Roman" w:cs="Times New Roman" w:eastAsia="Times New Roman"/>
          <w:color w:val="000000"/>
          <w:spacing w:val="-11"/>
          <w:sz w:val="24"/>
        </w:rPr>
        <w:t xml:space="preserve"> </w:t>
      </w:r>
      <w:r>
        <w:rPr>
          <w:rFonts w:ascii="Times New Roman" w:hAnsi="Times New Roman" w:cs="Times New Roman" w:eastAsia="Times New Roman"/>
          <w:color w:val="000000"/>
          <w:sz w:val="24"/>
        </w:rPr>
        <w:t xml:space="preserve">garantendo</w:t>
      </w:r>
      <w:r>
        <w:rPr>
          <w:rFonts w:ascii="Times New Roman" w:hAnsi="Times New Roman" w:cs="Times New Roman" w:eastAsia="Times New Roman"/>
          <w:color w:val="000000"/>
          <w:spacing w:val="-13"/>
          <w:sz w:val="24"/>
        </w:rPr>
        <w:t xml:space="preserve"> </w:t>
      </w:r>
      <w:r>
        <w:rPr>
          <w:rFonts w:ascii="Times New Roman" w:hAnsi="Times New Roman" w:cs="Times New Roman" w:eastAsia="Times New Roman"/>
          <w:color w:val="000000"/>
          <w:sz w:val="24"/>
        </w:rPr>
        <w:t xml:space="preserve">continuità</w:t>
      </w:r>
      <w:r>
        <w:rPr>
          <w:rFonts w:ascii="Times New Roman" w:hAnsi="Times New Roman" w:cs="Times New Roman" w:eastAsia="Times New Roman"/>
          <w:color w:val="000000"/>
          <w:spacing w:val="-13"/>
          <w:sz w:val="24"/>
        </w:rPr>
        <w:t xml:space="preserve"> </w:t>
      </w:r>
      <w:r>
        <w:rPr>
          <w:rFonts w:ascii="Times New Roman" w:hAnsi="Times New Roman" w:cs="Times New Roman" w:eastAsia="Times New Roman"/>
          <w:color w:val="000000"/>
          <w:sz w:val="24"/>
        </w:rPr>
        <w:t xml:space="preserve">istituzionale,</w:t>
      </w:r>
      <w:r>
        <w:rPr>
          <w:rFonts w:ascii="Times New Roman" w:hAnsi="Times New Roman" w:cs="Times New Roman" w:eastAsia="Times New Roman"/>
          <w:color w:val="000000"/>
          <w:spacing w:val="-10"/>
          <w:sz w:val="24"/>
        </w:rPr>
        <w:t xml:space="preserve"> </w:t>
      </w:r>
      <w:r>
        <w:rPr>
          <w:rFonts w:ascii="Times New Roman" w:hAnsi="Times New Roman" w:cs="Times New Roman" w:eastAsia="Times New Roman"/>
          <w:color w:val="000000"/>
          <w:sz w:val="24"/>
        </w:rPr>
        <w:t xml:space="preserve">rispetto</w:t>
      </w:r>
      <w:r>
        <w:rPr>
          <w:rFonts w:ascii="Times New Roman" w:hAnsi="Times New Roman" w:cs="Times New Roman" w:eastAsia="Times New Roman"/>
          <w:color w:val="000000"/>
          <w:spacing w:val="-13"/>
          <w:sz w:val="24"/>
        </w:rPr>
        <w:t xml:space="preserve"> </w:t>
      </w:r>
      <w:r>
        <w:rPr>
          <w:rFonts w:ascii="Times New Roman" w:hAnsi="Times New Roman" w:cs="Times New Roman" w:eastAsia="Times New Roman"/>
          <w:color w:val="000000"/>
          <w:sz w:val="24"/>
        </w:rPr>
        <w:t xml:space="preserve">delle</w:t>
      </w:r>
      <w:r>
        <w:rPr>
          <w:rFonts w:ascii="Times New Roman" w:hAnsi="Times New Roman" w:cs="Times New Roman" w:eastAsia="Times New Roman"/>
          <w:color w:val="000000"/>
          <w:spacing w:val="-13"/>
          <w:sz w:val="24"/>
        </w:rPr>
        <w:t xml:space="preserve"> </w:t>
      </w:r>
      <w:r>
        <w:rPr>
          <w:rFonts w:ascii="Times New Roman" w:hAnsi="Times New Roman" w:cs="Times New Roman" w:eastAsia="Times New Roman"/>
          <w:color w:val="000000"/>
          <w:sz w:val="24"/>
        </w:rPr>
        <w:t xml:space="preserve">normative vigenti,</w:t>
      </w:r>
      <w:r>
        <w:rPr>
          <w:rFonts w:ascii="Times New Roman" w:hAnsi="Times New Roman" w:cs="Times New Roman" w:eastAsia="Times New Roman"/>
          <w:color w:val="000000"/>
          <w:spacing w:val="-5"/>
          <w:sz w:val="24"/>
        </w:rPr>
        <w:t xml:space="preserve"> </w:t>
      </w:r>
      <w:r>
        <w:rPr>
          <w:rFonts w:ascii="Times New Roman" w:hAnsi="Times New Roman" w:cs="Times New Roman" w:eastAsia="Times New Roman"/>
          <w:color w:val="000000"/>
          <w:sz w:val="24"/>
        </w:rPr>
        <w:t xml:space="preserve">omogeneità</w:t>
      </w:r>
      <w:r>
        <w:rPr>
          <w:rFonts w:ascii="Times New Roman" w:hAnsi="Times New Roman" w:cs="Times New Roman" w:eastAsia="Times New Roman"/>
          <w:color w:val="000000"/>
          <w:spacing w:val="-6"/>
          <w:sz w:val="24"/>
        </w:rPr>
        <w:t xml:space="preserve"> </w:t>
      </w:r>
      <w:r>
        <w:rPr>
          <w:rFonts w:ascii="Times New Roman" w:hAnsi="Times New Roman" w:cs="Times New Roman" w:eastAsia="Times New Roman"/>
          <w:color w:val="000000"/>
          <w:sz w:val="24"/>
        </w:rPr>
        <w:t xml:space="preserve">delle</w:t>
      </w:r>
      <w:r>
        <w:rPr>
          <w:rFonts w:ascii="Times New Roman" w:hAnsi="Times New Roman" w:cs="Times New Roman" w:eastAsia="Times New Roman"/>
          <w:color w:val="000000"/>
          <w:spacing w:val="-6"/>
          <w:sz w:val="24"/>
        </w:rPr>
        <w:t xml:space="preserve"> </w:t>
      </w:r>
      <w:r>
        <w:rPr>
          <w:rFonts w:ascii="Times New Roman" w:hAnsi="Times New Roman" w:cs="Times New Roman" w:eastAsia="Times New Roman"/>
          <w:color w:val="000000"/>
          <w:sz w:val="24"/>
        </w:rPr>
        <w:t xml:space="preserve">procedure</w:t>
      </w:r>
      <w:r>
        <w:rPr>
          <w:rFonts w:ascii="Times New Roman" w:hAnsi="Times New Roman" w:cs="Times New Roman" w:eastAsia="Times New Roman"/>
          <w:color w:val="000000"/>
          <w:spacing w:val="-6"/>
          <w:sz w:val="24"/>
        </w:rPr>
        <w:t xml:space="preserve"> </w:t>
      </w:r>
      <w:r>
        <w:rPr>
          <w:rFonts w:ascii="Times New Roman" w:hAnsi="Times New Roman" w:cs="Times New Roman" w:eastAsia="Times New Roman"/>
          <w:color w:val="000000"/>
          <w:sz w:val="24"/>
        </w:rPr>
        <w:t xml:space="preserve">e,</w:t>
      </w:r>
      <w:r>
        <w:rPr>
          <w:rFonts w:ascii="Times New Roman" w:hAnsi="Times New Roman" w:cs="Times New Roman" w:eastAsia="Times New Roman"/>
          <w:color w:val="000000"/>
          <w:spacing w:val="-6"/>
          <w:sz w:val="24"/>
        </w:rPr>
        <w:t xml:space="preserve"> </w:t>
      </w:r>
      <w:r>
        <w:rPr>
          <w:rFonts w:ascii="Times New Roman" w:hAnsi="Times New Roman" w:cs="Times New Roman" w:eastAsia="Times New Roman"/>
          <w:color w:val="000000"/>
          <w:sz w:val="24"/>
        </w:rPr>
        <w:t xml:space="preserve">al</w:t>
      </w:r>
      <w:r>
        <w:rPr>
          <w:rFonts w:ascii="Times New Roman" w:hAnsi="Times New Roman" w:cs="Times New Roman" w:eastAsia="Times New Roman"/>
          <w:color w:val="000000"/>
          <w:spacing w:val="-6"/>
          <w:sz w:val="24"/>
        </w:rPr>
        <w:t xml:space="preserve"> </w:t>
      </w:r>
      <w:r>
        <w:rPr>
          <w:rFonts w:ascii="Times New Roman" w:hAnsi="Times New Roman" w:cs="Times New Roman" w:eastAsia="Times New Roman"/>
          <w:color w:val="000000"/>
          <w:sz w:val="24"/>
        </w:rPr>
        <w:t xml:space="preserve">contempo,</w:t>
      </w:r>
      <w:r>
        <w:rPr>
          <w:rFonts w:ascii="Times New Roman" w:hAnsi="Times New Roman" w:cs="Times New Roman" w:eastAsia="Times New Roman"/>
          <w:color w:val="000000"/>
          <w:spacing w:val="-5"/>
          <w:sz w:val="24"/>
        </w:rPr>
        <w:t xml:space="preserve"> </w:t>
      </w:r>
      <w:r>
        <w:rPr>
          <w:rFonts w:ascii="Times New Roman" w:hAnsi="Times New Roman" w:cs="Times New Roman" w:eastAsia="Times New Roman"/>
          <w:color w:val="000000"/>
          <w:sz w:val="24"/>
        </w:rPr>
        <w:t xml:space="preserve">valorizzazione</w:t>
      </w:r>
      <w:r>
        <w:rPr>
          <w:rFonts w:ascii="Times New Roman" w:hAnsi="Times New Roman" w:cs="Times New Roman" w:eastAsia="Times New Roman"/>
          <w:color w:val="000000"/>
          <w:spacing w:val="-6"/>
          <w:sz w:val="24"/>
        </w:rPr>
        <w:t xml:space="preserve"> </w:t>
      </w:r>
      <w:r>
        <w:rPr>
          <w:rFonts w:ascii="Times New Roman" w:hAnsi="Times New Roman" w:cs="Times New Roman" w:eastAsia="Times New Roman"/>
          <w:color w:val="000000"/>
          <w:sz w:val="24"/>
        </w:rPr>
        <w:t xml:space="preserve">delle</w:t>
      </w:r>
      <w:r>
        <w:rPr>
          <w:rFonts w:ascii="Times New Roman" w:hAnsi="Times New Roman" w:cs="Times New Roman" w:eastAsia="Times New Roman"/>
          <w:color w:val="000000"/>
          <w:spacing w:val="-6"/>
          <w:sz w:val="24"/>
        </w:rPr>
        <w:t xml:space="preserve"> </w:t>
      </w:r>
      <w:r>
        <w:rPr>
          <w:rFonts w:ascii="Times New Roman" w:hAnsi="Times New Roman" w:cs="Times New Roman" w:eastAsia="Times New Roman"/>
          <w:color w:val="000000"/>
          <w:sz w:val="24"/>
        </w:rPr>
        <w:t xml:space="preserve">esigenze</w:t>
      </w:r>
      <w:r>
        <w:rPr>
          <w:rFonts w:ascii="Times New Roman" w:hAnsi="Times New Roman" w:cs="Times New Roman" w:eastAsia="Times New Roman"/>
          <w:color w:val="000000"/>
          <w:spacing w:val="-6"/>
          <w:sz w:val="24"/>
        </w:rPr>
        <w:t xml:space="preserve"> </w:t>
      </w:r>
      <w:r>
        <w:rPr>
          <w:rFonts w:ascii="Times New Roman" w:hAnsi="Times New Roman" w:cs="Times New Roman" w:eastAsia="Times New Roman"/>
          <w:color w:val="000000"/>
          <w:sz w:val="24"/>
        </w:rPr>
        <w:t xml:space="preserve">specifiche</w:t>
      </w:r>
      <w:r>
        <w:rPr>
          <w:rFonts w:ascii="Times New Roman" w:hAnsi="Times New Roman" w:cs="Times New Roman" w:eastAsia="Times New Roman"/>
          <w:color w:val="000000"/>
          <w:spacing w:val="-6"/>
          <w:sz w:val="24"/>
        </w:rPr>
        <w:t xml:space="preserve"> </w:t>
      </w:r>
      <w:r>
        <w:rPr>
          <w:rFonts w:ascii="Times New Roman" w:hAnsi="Times New Roman" w:cs="Times New Roman" w:eastAsia="Times New Roman"/>
          <w:color w:val="000000"/>
          <w:sz w:val="24"/>
        </w:rPr>
        <w:t xml:space="preserve">di ciascun territorio interessato;</w:t>
      </w:r>
      <w:r>
        <w:rPr>
          <w:rFonts w:ascii="Times New Roman" w:hAnsi="Times New Roman" w:cs="Times New Roman" w:eastAsia="Times New Roman"/>
          <w:sz w:val="24"/>
        </w:rPr>
      </w:r>
      <w:r/>
    </w:p>
    <w:p>
      <w:pPr>
        <w:ind w:left="0" w:right="101"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01"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PRESO ATTO</w:t>
      </w:r>
      <w:r>
        <w:rPr>
          <w:rFonts w:ascii="Times New Roman" w:hAnsi="Times New Roman" w:cs="Times New Roman" w:eastAsia="Times New Roman"/>
          <w:color w:val="000000"/>
          <w:sz w:val="24"/>
        </w:rPr>
        <w:t xml:space="preserve"> che, secondo quanto indicato nei sopracitati schemi di convenzione, le risorse finanziarie per la gestione delle funzioni previste nelle convenzioni stesse sono a carico degli Enti aderenti e, nel merito, è stato previsto che:</w:t>
      </w:r>
      <w:r>
        <w:rPr>
          <w:rFonts w:ascii="Times New Roman" w:hAnsi="Times New Roman" w:cs="Times New Roman" w:eastAsia="Times New Roman"/>
          <w:sz w:val="24"/>
        </w:rPr>
      </w:r>
      <w:r/>
    </w:p>
    <w:p>
      <w:pPr>
        <w:numPr>
          <w:ilvl w:val="0"/>
          <w:numId w:val="1"/>
        </w:numPr>
        <w:jc w:val="both"/>
        <w:spacing w:before="0" w:after="0"/>
        <w:tabs>
          <w:tab w:val="left" w:pos="284"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l’ammontare delle somme dovute all’U.S.R., per ogni singola procedura affidata all’U.S.R. dall’Ente aderente, sarà calcolato in funzione dell’importo a base di gara, comprensivo di oneri della sicurezza (IVA esclusa) e secondo predeterminati scaglioni di i</w:t>
      </w:r>
      <w:r>
        <w:rPr>
          <w:rFonts w:ascii="Times New Roman" w:hAnsi="Times New Roman" w:cs="Times New Roman" w:eastAsia="Times New Roman"/>
          <w:color w:val="000000"/>
          <w:sz w:val="24"/>
        </w:rPr>
        <w:t xml:space="preserve">mporto; tali somme dovranno essere individuate dall’Ente aderente distinguendo tra:</w:t>
      </w:r>
      <w:r>
        <w:rPr>
          <w:rFonts w:ascii="Times New Roman" w:hAnsi="Times New Roman" w:cs="Times New Roman" w:eastAsia="Times New Roman"/>
          <w:sz w:val="24"/>
        </w:rPr>
      </w:r>
      <w:r/>
    </w:p>
    <w:p>
      <w:pPr>
        <w:numPr>
          <w:ilvl w:val="0"/>
          <w:numId w:val="1"/>
        </w:numPr>
        <w:jc w:val="both"/>
        <w:spacing w:before="0" w:after="0"/>
        <w:tabs>
          <w:tab w:val="left" w:pos="426"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l’importo a forfait, a copertura dei costi connessi all’attività dell’U.S.R.;</w:t>
      </w:r>
      <w:r>
        <w:rPr>
          <w:rFonts w:ascii="Times New Roman" w:hAnsi="Times New Roman" w:cs="Times New Roman" w:eastAsia="Times New Roman"/>
          <w:sz w:val="24"/>
        </w:rPr>
      </w:r>
      <w:r/>
    </w:p>
    <w:p>
      <w:pPr>
        <w:numPr>
          <w:ilvl w:val="0"/>
          <w:numId w:val="1"/>
        </w:numPr>
        <w:jc w:val="both"/>
        <w:spacing w:before="0" w:after="0"/>
        <w:tabs>
          <w:tab w:val="left" w:pos="426"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gli incentivi ex art. 45 del D.Lgs. n. 36/2023, per i compiti svolti dal personale dell’U.S.R. nell’espletamento della procedura;</w:t>
      </w:r>
      <w:r>
        <w:rPr>
          <w:rFonts w:ascii="Times New Roman" w:hAnsi="Times New Roman" w:cs="Times New Roman" w:eastAsia="Times New Roman"/>
          <w:sz w:val="24"/>
        </w:rPr>
      </w:r>
      <w:r/>
    </w:p>
    <w:p>
      <w:pPr>
        <w:numPr>
          <w:ilvl w:val="0"/>
          <w:numId w:val="1"/>
        </w:numPr>
        <w:jc w:val="both"/>
        <w:spacing w:before="0" w:after="0"/>
        <w:tabs>
          <w:tab w:val="left" w:pos="284"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gli oneri spettanti all’U.S.R. saranno richiesti all’Ente aderente con rendicontazione trasmessa in sede di comunicazione dell’efficacia dell’aggiudicazione e dovranno essere versati dall’Ente aderente entro trenta giorni dal ricevimento della detta richie</w:t>
      </w:r>
      <w:r>
        <w:rPr>
          <w:rFonts w:ascii="Times New Roman" w:hAnsi="Times New Roman" w:cs="Times New Roman" w:eastAsia="Times New Roman"/>
          <w:color w:val="000000"/>
          <w:sz w:val="24"/>
        </w:rPr>
        <w:t xml:space="preserve">sta;</w:t>
      </w:r>
      <w:r>
        <w:rPr>
          <w:rFonts w:ascii="Times New Roman" w:hAnsi="Times New Roman" w:cs="Times New Roman" w:eastAsia="Times New Roman"/>
          <w:sz w:val="24"/>
        </w:rPr>
      </w:r>
      <w:r/>
    </w:p>
    <w:p>
      <w:pPr>
        <w:numPr>
          <w:ilvl w:val="0"/>
          <w:numId w:val="1"/>
        </w:numPr>
        <w:jc w:val="both"/>
        <w:spacing w:before="0" w:after="0"/>
        <w:tabs>
          <w:tab w:val="left" w:pos="284"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restano altresì a carico dell’Ente aderente anche le spese relative ai contributi di gara in favore dell’ANAC (se dovute), quelle concernenti le pubblicazioni degli avvisi di gara e delle relative risultanze, quelle relative alle Commissioni giudicatrici e</w:t>
      </w:r>
      <w:r>
        <w:rPr>
          <w:rFonts w:ascii="Times New Roman" w:hAnsi="Times New Roman" w:cs="Times New Roman" w:eastAsia="Times New Roman"/>
          <w:color w:val="000000"/>
          <w:sz w:val="24"/>
        </w:rPr>
        <w:t xml:space="preserve"> tutte le ulteriori spese di procedura, compresi gli oneri per incarichi di supporto che dovessero rendersi necessari in fase di verifica di congruità dell’offerta e/o del costo della manodopera, che dovranno essere riportate nei quadri economici di spesa </w:t>
      </w:r>
      <w:r>
        <w:rPr>
          <w:rFonts w:ascii="Times New Roman" w:hAnsi="Times New Roman" w:cs="Times New Roman" w:eastAsia="Times New Roman"/>
          <w:color w:val="000000"/>
          <w:sz w:val="24"/>
        </w:rPr>
        <w:t xml:space="preserve">dei provvedimenti emanati dallo stesso Ente aderente;</w:t>
      </w:r>
      <w:r>
        <w:rPr>
          <w:rFonts w:ascii="Times New Roman" w:hAnsi="Times New Roman" w:cs="Times New Roman" w:eastAsia="Times New Roman"/>
          <w:sz w:val="24"/>
        </w:rPr>
      </w:r>
      <w:r/>
    </w:p>
    <w:p>
      <w:pPr>
        <w:ind w:left="0" w:right="227"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01" w:firstLine="709"/>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RICONOSCIUTA</w:t>
      </w:r>
      <w:r>
        <w:rPr>
          <w:rFonts w:ascii="Times New Roman" w:hAnsi="Times New Roman" w:cs="Times New Roman" w:eastAsia="Times New Roman"/>
          <w:color w:val="000000"/>
          <w:sz w:val="24"/>
        </w:rPr>
        <w:t xml:space="preserve"> la necessità di individuare un soggetto dotato di competenza qualificate, esperienza operativa e struttura amministrativa stabile e dedicata, in grado di svolgere le funzioni di centrale di committenza per conto delle Amministrazioni del cratere sismico 2</w:t>
      </w:r>
      <w:r>
        <w:rPr>
          <w:rFonts w:ascii="Times New Roman" w:hAnsi="Times New Roman" w:cs="Times New Roman" w:eastAsia="Times New Roman"/>
          <w:color w:val="000000"/>
          <w:sz w:val="24"/>
        </w:rPr>
        <w:t xml:space="preserve">016, nonché le attività di committenza ausiliaria alle Amministrazioni che attuano gli interventi finanziati con fondi sisma 2016, in coerenza con gli indirizzi della Regione Marche e del Commissario Straordinario;</w:t>
      </w:r>
      <w:r>
        <w:rPr>
          <w:rFonts w:ascii="Times New Roman" w:hAnsi="Times New Roman" w:cs="Times New Roman" w:eastAsia="Times New Roman"/>
          <w:sz w:val="24"/>
        </w:rPr>
      </w:r>
      <w:r/>
    </w:p>
    <w:p>
      <w:pPr>
        <w:ind w:left="0" w:right="101"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12" w:firstLine="709"/>
        <w:jc w:val="both"/>
        <w:spacing w:before="0" w:after="0"/>
        <w:tabs>
          <w:tab w:val="left" w:pos="42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RITENUTO</w:t>
      </w:r>
      <w:r>
        <w:rPr>
          <w:rFonts w:ascii="Times New Roman" w:hAnsi="Times New Roman" w:cs="Times New Roman" w:eastAsia="Times New Roman"/>
          <w:color w:val="000000"/>
          <w:sz w:val="24"/>
        </w:rPr>
        <w:t xml:space="preserve"> quindi di aderire alle suddette convenzioni approvate dalla Giunta Regione Marche con deliberazioni nn. 1373 e 1374 dell’11/08/2025;</w:t>
      </w:r>
      <w:r>
        <w:rPr>
          <w:rFonts w:ascii="Times New Roman" w:hAnsi="Times New Roman" w:cs="Times New Roman" w:eastAsia="Times New Roman"/>
          <w:sz w:val="24"/>
        </w:rPr>
      </w:r>
      <w:r/>
    </w:p>
    <w:p>
      <w:pPr>
        <w:ind w:left="0" w:right="112" w:firstLine="0"/>
        <w:jc w:val="both"/>
        <w:spacing w:before="0" w:after="0"/>
        <w:tabs>
          <w:tab w:val="left" w:pos="42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07" w:firstLine="708"/>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DATO ATTO</w:t>
      </w:r>
      <w:r>
        <w:rPr>
          <w:rFonts w:ascii="Times New Roman" w:hAnsi="Times New Roman" w:cs="Times New Roman" w:eastAsia="Times New Roman"/>
          <w:color w:val="000000"/>
          <w:sz w:val="24"/>
        </w:rPr>
        <w:t xml:space="preserve"> che la sottoscrizione delle convenzioni non comporta oneri immediati e diretti a carico del bilancio dell’Ente;</w:t>
      </w:r>
      <w:r>
        <w:rPr>
          <w:rFonts w:ascii="Times New Roman" w:hAnsi="Times New Roman" w:cs="Times New Roman" w:eastAsia="Times New Roman"/>
          <w:sz w:val="24"/>
        </w:rPr>
      </w:r>
      <w:r/>
    </w:p>
    <w:p>
      <w:pPr>
        <w:ind w:left="708" w:right="107"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709"/>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ACQUISITI </w:t>
      </w:r>
      <w:r>
        <w:rPr>
          <w:rFonts w:ascii="Times New Roman" w:hAnsi="Times New Roman" w:cs="Times New Roman" w:eastAsia="Times New Roman"/>
          <w:color w:val="000000"/>
          <w:sz w:val="24"/>
        </w:rPr>
        <w:t xml:space="preserve">i seguenti pareri, ai sensi dell’art. 49 del D.Lgs.n.267/2000:</w:t>
      </w:r>
      <w:r>
        <w:rPr>
          <w:rFonts w:ascii="Times New Roman" w:hAnsi="Times New Roman" w:cs="Times New Roman" w:eastAsia="Times New Roman"/>
          <w:sz w:val="24"/>
        </w:rPr>
      </w:r>
      <w:r/>
    </w:p>
    <w:p>
      <w:pPr>
        <w:ind w:left="0" w:right="0" w:firstLine="0"/>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Parere favorevole di regolarità tecnica:</w:t>
      </w:r>
      <w:r>
        <w:rPr>
          <w:rFonts w:ascii="Times New Roman" w:hAnsi="Times New Roman" w:cs="Times New Roman" w:eastAsia="Times New Roman"/>
          <w:sz w:val="24"/>
        </w:rPr>
      </w:r>
      <w:r/>
    </w:p>
    <w:p>
      <w:pPr>
        <w:ind w:left="0" w:right="0" w:firstLine="0"/>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 Dirigente del Dipartimento del Territorio - Arch. Manuela Vecchietti</w:t>
      </w:r>
      <w:r>
        <w:rPr>
          <w:rFonts w:ascii="Times New Roman" w:hAnsi="Times New Roman" w:cs="Times New Roman" w:eastAsia="Times New Roman"/>
          <w:sz w:val="24"/>
        </w:rPr>
      </w:r>
      <w:r/>
    </w:p>
    <w:p>
      <w:pPr>
        <w:ind w:left="0" w:right="0" w:firstLine="0"/>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Parere favorevole di regolarità contabile:</w:t>
      </w:r>
      <w:r>
        <w:rPr>
          <w:rFonts w:ascii="Times New Roman" w:hAnsi="Times New Roman" w:cs="Times New Roman" w:eastAsia="Times New Roman"/>
          <w:sz w:val="24"/>
        </w:rPr>
      </w:r>
      <w:r/>
    </w:p>
    <w:p>
      <w:pPr>
        <w:ind w:left="0" w:right="0" w:firstLine="0"/>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 Dirigente Dipartimento delle Finanze – Dott.ssa Anna Tiberi</w:t>
      </w:r>
      <w:r>
        <w:rPr>
          <w:rFonts w:ascii="Times New Roman" w:hAnsi="Times New Roman" w:cs="Times New Roman" w:eastAsia="Times New Roman"/>
          <w:sz w:val="24"/>
        </w:rPr>
      </w:r>
      <w:r/>
    </w:p>
    <w:p>
      <w:pPr>
        <w:ind w:left="0" w:right="0" w:firstLine="0"/>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Con la seguente votazione, espressa in modalità elettronica: ___________________</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center"/>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D E L I B E R A</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 </w:t>
      </w:r>
      <w:r>
        <w:rPr>
          <w:rFonts w:ascii="Times New Roman" w:hAnsi="Times New Roman" w:cs="Times New Roman" w:eastAsia="Times New Roman"/>
          <w:sz w:val="24"/>
        </w:rPr>
      </w:r>
      <w:r/>
    </w:p>
    <w:p>
      <w:pPr>
        <w:ind w:left="0" w:right="0" w:firstLine="0"/>
        <w:jc w:val="both"/>
        <w:spacing w:before="0" w:after="0"/>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709"/>
        <w:jc w:val="both"/>
        <w:spacing w:before="0" w:after="0"/>
        <w:tabs>
          <w:tab w:val="left" w:pos="993"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1) di dare atto che le premesse formano parte integrante e sostanziale del presente atto deliberativo e qui si intendono come materialmente trascritte ed approvate;</w:t>
      </w:r>
      <w:r>
        <w:rPr>
          <w:rFonts w:ascii="Times New Roman" w:hAnsi="Times New Roman" w:cs="Times New Roman" w:eastAsia="Times New Roman"/>
          <w:sz w:val="24"/>
        </w:rPr>
      </w:r>
      <w:r/>
    </w:p>
    <w:p>
      <w:pPr>
        <w:ind w:left="708" w:right="0" w:firstLine="709"/>
        <w:jc w:val="both"/>
        <w:spacing w:before="0" w:after="0"/>
        <w:tabs>
          <w:tab w:val="left" w:pos="993"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19" w:firstLine="709"/>
        <w:jc w:val="both"/>
        <w:spacing w:before="0" w:after="0"/>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 di approvare lo schema dell’accordo, da stipularsi ai sensi dell’art. 15 della Legge n. 241/1990 tra il Comune di Osimo e l’Ufficio Speciale per la Ricostruzione post sisma 2016 per la Regione Marche, avente per oggetto: “</w:t>
      </w:r>
      <w:r>
        <w:rPr>
          <w:rFonts w:ascii="Times New Roman" w:hAnsi="Times New Roman" w:cs="Times New Roman" w:eastAsia="Times New Roman"/>
          <w:i/>
          <w:color w:val="000000"/>
          <w:sz w:val="24"/>
        </w:rPr>
        <w:t xml:space="preserve">Accordo</w:t>
      </w:r>
      <w:r>
        <w:rPr>
          <w:rFonts w:ascii="Times New Roman" w:hAnsi="Times New Roman" w:cs="Times New Roman" w:eastAsia="Times New Roman"/>
          <w:color w:val="000000"/>
          <w:sz w:val="24"/>
        </w:rPr>
        <w:t xml:space="preserve"> </w:t>
      </w:r>
      <w:r>
        <w:rPr>
          <w:rFonts w:ascii="Times New Roman" w:hAnsi="Times New Roman" w:cs="Times New Roman" w:eastAsia="Times New Roman"/>
          <w:i/>
          <w:color w:val="000000"/>
          <w:sz w:val="24"/>
        </w:rPr>
        <w:t xml:space="preserve">inerente i rapporti tra la Centrale Unica di Committenza (CUC) Ufficio Speciale</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per</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la</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Ricostruzione</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post</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sisma</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per</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la</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Regione</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Marche</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ed</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i</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soggetti</w:t>
      </w:r>
      <w:r>
        <w:rPr>
          <w:rFonts w:ascii="Times New Roman" w:hAnsi="Times New Roman" w:cs="Times New Roman" w:eastAsia="Times New Roman"/>
          <w:i/>
          <w:color w:val="000000"/>
          <w:spacing w:val="-2"/>
          <w:sz w:val="24"/>
        </w:rPr>
        <w:t xml:space="preserve"> </w:t>
      </w:r>
      <w:r>
        <w:rPr>
          <w:rFonts w:ascii="Times New Roman" w:hAnsi="Times New Roman" w:cs="Times New Roman" w:eastAsia="Times New Roman"/>
          <w:i/>
          <w:color w:val="000000"/>
          <w:sz w:val="24"/>
        </w:rPr>
        <w:t xml:space="preserve">pubblici all’interno dell’area del cratere sismico 2016 e 2022, assegnatari di finanziamenti sisma, compresi i fondi PNRR e PNC, che si avvalgono delle forme di aggregazione di</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cui</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all’art.</w:t>
      </w:r>
      <w:r>
        <w:rPr>
          <w:rFonts w:ascii="Times New Roman" w:hAnsi="Times New Roman" w:cs="Times New Roman" w:eastAsia="Times New Roman"/>
          <w:i/>
          <w:color w:val="000000"/>
          <w:spacing w:val="-8"/>
          <w:sz w:val="24"/>
        </w:rPr>
        <w:t xml:space="preserve"> </w:t>
      </w:r>
      <w:r>
        <w:rPr>
          <w:rFonts w:ascii="Times New Roman" w:hAnsi="Times New Roman" w:cs="Times New Roman" w:eastAsia="Times New Roman"/>
          <w:i/>
          <w:color w:val="000000"/>
          <w:sz w:val="24"/>
        </w:rPr>
        <w:t xml:space="preserve">62,</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d.</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Lgs.</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N.</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36/2023,</w:t>
      </w:r>
      <w:r>
        <w:rPr>
          <w:rFonts w:ascii="Times New Roman" w:hAnsi="Times New Roman" w:cs="Times New Roman" w:eastAsia="Times New Roman"/>
          <w:i/>
          <w:color w:val="000000"/>
          <w:spacing w:val="-8"/>
          <w:sz w:val="24"/>
        </w:rPr>
        <w:t xml:space="preserve"> </w:t>
      </w:r>
      <w:r>
        <w:rPr>
          <w:rFonts w:ascii="Times New Roman" w:hAnsi="Times New Roman" w:cs="Times New Roman" w:eastAsia="Times New Roman"/>
          <w:i/>
          <w:color w:val="000000"/>
          <w:sz w:val="24"/>
        </w:rPr>
        <w:t xml:space="preserve">per</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l’affidamento</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di</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contratti</w:t>
      </w:r>
      <w:r>
        <w:rPr>
          <w:rFonts w:ascii="Times New Roman" w:hAnsi="Times New Roman" w:cs="Times New Roman" w:eastAsia="Times New Roman"/>
          <w:i/>
          <w:color w:val="000000"/>
          <w:spacing w:val="-9"/>
          <w:sz w:val="24"/>
        </w:rPr>
        <w:t xml:space="preserve"> </w:t>
      </w:r>
      <w:r>
        <w:rPr>
          <w:rFonts w:ascii="Times New Roman" w:hAnsi="Times New Roman" w:cs="Times New Roman" w:eastAsia="Times New Roman"/>
          <w:i/>
          <w:color w:val="000000"/>
          <w:sz w:val="24"/>
        </w:rPr>
        <w:t xml:space="preserve">di</w:t>
      </w:r>
      <w:r>
        <w:rPr>
          <w:rFonts w:ascii="Times New Roman" w:hAnsi="Times New Roman" w:cs="Times New Roman" w:eastAsia="Times New Roman"/>
          <w:i/>
          <w:color w:val="000000"/>
          <w:spacing w:val="-10"/>
          <w:sz w:val="24"/>
        </w:rPr>
        <w:t xml:space="preserve"> </w:t>
      </w:r>
      <w:r>
        <w:rPr>
          <w:rFonts w:ascii="Times New Roman" w:hAnsi="Times New Roman" w:cs="Times New Roman" w:eastAsia="Times New Roman"/>
          <w:i/>
          <w:color w:val="000000"/>
          <w:sz w:val="24"/>
        </w:rPr>
        <w:t xml:space="preserve">appalto, di partenariato pubblico-privato e di concessione di servizi, forniture, lavori pubblici e servizi tecnici attinenti all’ingegneria e l’architettura”, </w:t>
      </w:r>
      <w:r>
        <w:rPr>
          <w:rFonts w:ascii="Times New Roman" w:hAnsi="Times New Roman" w:cs="Times New Roman" w:eastAsia="Times New Roman"/>
          <w:color w:val="000000"/>
          <w:sz w:val="24"/>
        </w:rPr>
        <w:t xml:space="preserve">che viene allegato alla presente deliberazione sotto la lettera “A” per formarne parte integrante e sostanziale;</w:t>
      </w:r>
      <w:r>
        <w:rPr>
          <w:rFonts w:ascii="Times New Roman" w:hAnsi="Times New Roman" w:cs="Times New Roman" w:eastAsia="Times New Roman"/>
          <w:sz w:val="24"/>
        </w:rPr>
      </w:r>
      <w:r/>
    </w:p>
    <w:p>
      <w:pPr>
        <w:ind w:left="0" w:right="119" w:firstLine="709"/>
        <w:jc w:val="both"/>
        <w:spacing w:before="0" w:after="0"/>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19" w:firstLine="709"/>
        <w:jc w:val="both"/>
        <w:spacing w:before="0" w:after="0"/>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3) di approvare lo schema della convenzione, da stipularsi ai sensi dell’art. 15 della Legge n. 241/1990 tra il Comune di Osimo e l’Ufficio Speciale per la Ricostruzione post sisma 2016 per la Regione Marche, avente per oggetto: “C</w:t>
      </w:r>
      <w:r>
        <w:rPr>
          <w:rFonts w:ascii="Times New Roman" w:hAnsi="Times New Roman" w:cs="Times New Roman" w:eastAsia="Times New Roman"/>
          <w:i/>
          <w:color w:val="000000"/>
          <w:sz w:val="24"/>
        </w:rPr>
        <w:t xml:space="preserve">onvenzione ai sensi dell’art. 15 della Legge 241/1990 s.m.i. per lo svolgimento delle attività di committenza ausiliaria ai sensi degli artt. 62 e 63 del D. Lgs. 36/2023 s.m.i. alle amministrazioni che attuano gli interventi finanziati con i fondi sisma 20</w:t>
      </w:r>
      <w:r>
        <w:rPr>
          <w:rFonts w:ascii="Times New Roman" w:hAnsi="Times New Roman" w:cs="Times New Roman" w:eastAsia="Times New Roman"/>
          <w:i/>
          <w:color w:val="000000"/>
          <w:sz w:val="24"/>
        </w:rPr>
        <w:t xml:space="preserve">16 e 2022 nonché con i fondi PNC e PNRR”,</w:t>
      </w:r>
      <w:r>
        <w:rPr>
          <w:rFonts w:ascii="Times New Roman" w:hAnsi="Times New Roman" w:cs="Times New Roman" w:eastAsia="Times New Roman"/>
          <w:color w:val="000000"/>
          <w:sz w:val="24"/>
        </w:rPr>
        <w:t xml:space="preserve">che viene allegato alla presente deliberazione sotto la lettera “B” per formarne parte integrante e sostanziale;</w:t>
      </w:r>
      <w:r>
        <w:rPr>
          <w:rFonts w:ascii="Times New Roman" w:hAnsi="Times New Roman" w:cs="Times New Roman" w:eastAsia="Times New Roman"/>
          <w:sz w:val="24"/>
        </w:rPr>
      </w:r>
      <w:r/>
    </w:p>
    <w:p>
      <w:pPr>
        <w:ind w:left="0" w:right="119" w:firstLine="709"/>
        <w:jc w:val="both"/>
        <w:spacing w:before="0" w:after="0"/>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both"/>
        <w:spacing w:before="0" w:after="0"/>
        <w:tabs>
          <w:tab w:val="left" w:pos="709" w:leader="none"/>
          <w:tab w:val="left" w:pos="993"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ab/>
        <w:t xml:space="preserve">4) di demandare alla Dirigente Dipartimento del Territorio la sottoscrizione delle convenzioni per conto del Comune di Osimo, con facoltà di apportare alle convenzioni stesse le eventuali modifiche non sostanziali che si rendessero necessarie ai fini dell</w:t>
      </w:r>
      <w:r>
        <w:rPr>
          <w:rFonts w:ascii="Times New Roman" w:hAnsi="Times New Roman" w:cs="Times New Roman" w:eastAsia="Times New Roman"/>
          <w:color w:val="000000"/>
          <w:sz w:val="24"/>
        </w:rPr>
        <w:t xml:space="preserve">a stipula;</w:t>
      </w:r>
      <w:r>
        <w:rPr>
          <w:rFonts w:ascii="Times New Roman" w:hAnsi="Times New Roman" w:cs="Times New Roman" w:eastAsia="Times New Roman"/>
          <w:sz w:val="24"/>
        </w:rPr>
      </w:r>
      <w:r/>
    </w:p>
    <w:p>
      <w:pPr>
        <w:ind w:left="0" w:right="-1" w:firstLine="0"/>
        <w:jc w:val="both"/>
        <w:spacing w:before="0" w:after="0"/>
        <w:tabs>
          <w:tab w:val="left" w:pos="709" w:leader="none"/>
          <w:tab w:val="left" w:pos="993" w:leader="none"/>
          <w:tab w:val="left" w:pos="9214" w:leader="none"/>
          <w:tab w:val="left" w:pos="9498"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1" w:firstLine="0"/>
        <w:jc w:val="both"/>
        <w:spacing w:before="0" w:after="0"/>
        <w:tabs>
          <w:tab w:val="left" w:pos="709" w:leader="none"/>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ab/>
        <w:t xml:space="preserve">5) di dare atto che l’approvazione delle convenzioni e la successiva sottoscrizione delle stesse non comportano oneri immediati e diretti a carico del bilancio dell’Ente;</w:t>
      </w:r>
      <w:r>
        <w:rPr>
          <w:rFonts w:ascii="Times New Roman" w:hAnsi="Times New Roman" w:cs="Times New Roman" w:eastAsia="Times New Roman"/>
          <w:sz w:val="24"/>
        </w:rPr>
      </w:r>
      <w:r/>
    </w:p>
    <w:p>
      <w:pPr>
        <w:ind w:left="0" w:right="0" w:firstLine="0"/>
        <w:jc w:val="both"/>
        <w:spacing w:before="0" w:after="0"/>
        <w:tabs>
          <w:tab w:val="left" w:pos="709"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both"/>
        <w:spacing w:before="0" w:after="0"/>
        <w:tabs>
          <w:tab w:val="left" w:pos="709" w:leader="none"/>
          <w:tab w:val="left" w:pos="993"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ab/>
        <w:t xml:space="preserve">6) di trasmettere copia della presente deliberazione all’Ufficio Speciale per la Ricostruzione della Regione Marche.</w:t>
      </w:r>
      <w:r>
        <w:rPr>
          <w:rFonts w:ascii="Times New Roman" w:hAnsi="Times New Roman" w:cs="Times New Roman" w:eastAsia="Times New Roman"/>
          <w:sz w:val="24"/>
        </w:rPr>
      </w:r>
      <w:r/>
    </w:p>
    <w:p>
      <w:pPr>
        <w:ind w:left="708" w:right="0" w:firstLine="0"/>
        <w:jc w:val="both"/>
        <w:spacing w:before="0" w:after="0"/>
        <w:tabs>
          <w:tab w:val="left" w:pos="993" w:leader="none"/>
        </w:tabs>
        <w:rPr>
          <w:rFonts w:ascii="Times New Roman" w:hAnsi="Times New Roman" w:cs="Times New Roman" w:eastAsia="Times New Roman"/>
          <w:sz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center"/>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w:t>
      </w:r>
      <w:r>
        <w:rPr>
          <w:rFonts w:ascii="Times New Roman" w:hAnsi="Times New Roman" w:cs="Times New Roman" w:eastAsia="Times New Roman"/>
          <w:sz w:val="24"/>
        </w:rPr>
      </w:r>
      <w:r/>
    </w:p>
    <w:p>
      <w:pPr>
        <w:ind w:left="0" w:right="0" w:firstLine="0"/>
        <w:jc w:val="both"/>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Quindi, in considerazione dell’urgenza di provvedere in merito, onde procedere alla stipula delle convenzioni in oggetto ed ai conseguenti provvedimenti inerenti agli interventi di ricostruzione pubblica;</w:t>
      </w:r>
      <w:r>
        <w:rPr>
          <w:rFonts w:ascii="Times New Roman" w:hAnsi="Times New Roman" w:cs="Times New Roman" w:eastAsia="Times New Roman"/>
          <w:sz w:val="24"/>
        </w:rPr>
      </w:r>
      <w:r/>
    </w:p>
    <w:p>
      <w:pPr>
        <w:ind w:left="0" w:right="0" w:firstLine="0"/>
        <w:jc w:val="both"/>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 </w:t>
      </w:r>
      <w:r>
        <w:rPr>
          <w:rFonts w:ascii="Times New Roman" w:hAnsi="Times New Roman" w:cs="Times New Roman" w:eastAsia="Times New Roman"/>
          <w:sz w:val="24"/>
        </w:rPr>
      </w:r>
      <w:r/>
    </w:p>
    <w:p>
      <w:pPr>
        <w:ind w:left="0" w:right="0" w:firstLine="0"/>
        <w:jc w:val="center"/>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IL CONSIGLIO COMUNALE</w:t>
      </w:r>
      <w:r>
        <w:rPr>
          <w:rFonts w:ascii="Times New Roman" w:hAnsi="Times New Roman" w:cs="Times New Roman" w:eastAsia="Times New Roman"/>
          <w:sz w:val="24"/>
        </w:rPr>
      </w:r>
      <w:r/>
    </w:p>
    <w:p>
      <w:pPr>
        <w:ind w:left="0" w:right="0" w:firstLine="0"/>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Con la seguente votazione, espressa in modalità elettronica: ______________</w:t>
      </w:r>
      <w:r>
        <w:rPr>
          <w:rFonts w:ascii="Times New Roman" w:hAnsi="Times New Roman" w:cs="Times New Roman" w:eastAsia="Times New Roman"/>
          <w:sz w:val="24"/>
        </w:rPr>
      </w:r>
      <w:r/>
    </w:p>
    <w:p>
      <w:pPr>
        <w:ind w:left="0" w:right="0" w:firstLine="0"/>
        <w:jc w:val="both"/>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center"/>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DELIBERA</w:t>
      </w:r>
      <w:r>
        <w:rPr>
          <w:rFonts w:ascii="Times New Roman" w:hAnsi="Times New Roman" w:cs="Times New Roman" w:eastAsia="Times New Roman"/>
          <w:sz w:val="24"/>
        </w:rPr>
      </w:r>
      <w:r/>
    </w:p>
    <w:p>
      <w:pPr>
        <w:ind w:left="0" w:right="0" w:firstLine="0"/>
        <w:jc w:val="center"/>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rPr>
          <w:rFonts w:ascii="Times New Roman" w:hAnsi="Times New Roman" w:cs="Times New Roman" w:eastAsia="Times New Roman"/>
          <w:sz w:val="24"/>
        </w:rPr>
      </w:r>
      <w:r/>
    </w:p>
    <w:p>
      <w:pPr>
        <w:ind w:left="0" w:right="0" w:firstLine="0"/>
        <w:jc w:val="both"/>
        <w:spacing w:before="0" w:after="0"/>
        <w:tabs>
          <w:tab w:val="left" w:pos="993" w:leader="none"/>
        </w:tabs>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rendere il presente atto immediatamente eseguibile ai sensi dell’art. 134, comma 4 del D.Lgs. n. 267/2000.</w:t>
      </w:r>
      <w:r>
        <w:rPr>
          <w:rFonts w:ascii="Times New Roman" w:hAnsi="Times New Roman" w:cs="Times New Roman" w:eastAsia="Times New Roman"/>
          <w:sz w:val="24"/>
        </w:rPr>
      </w:r>
      <w:r/>
    </w:p>
    <w:p>
      <w:pPr>
        <w:jc w:val="center"/>
        <w:rPr>
          <w:rFonts w:ascii="Times New Roman" w:hAnsi="Times New Roman" w:cs="Times New Roman" w:eastAsia="Times New Roman"/>
          <w:b/>
          <w:bCs/>
          <w:sz w:val="24"/>
          <w:szCs w:val="24"/>
          <w:highlight w:val="none"/>
        </w:rPr>
      </w:pPr>
      <w:r>
        <w:rPr>
          <w:rFonts w:ascii="Times New Roman" w:hAnsi="Times New Roman" w:cs="Times New Roman" w:eastAsia="Times New Roman"/>
          <w:b/>
          <w:bCs/>
          <w:sz w:val="24"/>
          <w:szCs w:val="24"/>
          <w:highlight w:val="none"/>
        </w:rPr>
      </w:r>
      <w:r>
        <w:rPr>
          <w:rFonts w:ascii="Times New Roman" w:hAnsi="Times New Roman" w:cs="Times New Roman" w:eastAsia="Times New Roman"/>
          <w:sz w:val="24"/>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pPr>
      <w:r>
        <w:rPr>
          <w:rFonts w:ascii="Arial" w:hAnsi="Arial" w:cs="Arial" w:eastAsia="Arial"/>
          <w:b/>
          <w:sz w:val="24"/>
          <w:highlight w:val="none"/>
        </w:rPr>
      </w:r>
      <w:r>
        <w:rPr>
          <w:rFonts w:ascii="Arial" w:hAnsi="Arial" w:cs="Arial" w:eastAsia="Arial"/>
          <w:b/>
          <w:sz w:val="24"/>
          <w:highlight w:val="none"/>
        </w:rPr>
      </w:r>
      <w:r/>
    </w:p>
    <w:p>
      <w:pPr>
        <w:jc w:val="center"/>
      </w:pPr>
      <w:r>
        <w:rPr>
          <w:rFonts w:ascii="Arial" w:hAnsi="Arial" w:cs="Arial" w:eastAsia="Arial"/>
          <w:b/>
          <w:sz w:val="24"/>
          <w:highlight w:val="none"/>
        </w:rPr>
        <w:t xml:space="preserve">***</w:t>
      </w:r>
      <w:r>
        <w:rPr>
          <w:rFonts w:ascii="Arial" w:hAnsi="Arial" w:cs="Arial" w:eastAsia="Arial"/>
          <w:b/>
          <w:sz w:val="24"/>
          <w:highlight w:val="none"/>
        </w:rPr>
      </w:r>
      <w:r/>
    </w:p>
    <w:p>
      <w:pPr>
        <w:jc w:val="left"/>
        <w:rPr>
          <w:bCs/>
          <w:i/>
          <w:sz w:val="20"/>
          <w:szCs w:val="20"/>
        </w:rPr>
      </w:pPr>
      <w:r>
        <w:rPr>
          <w:rFonts w:ascii="Arial" w:hAnsi="Arial" w:cs="Arial" w:eastAsia="Arial"/>
          <w:b/>
          <w:i/>
          <w:iCs/>
          <w:sz w:val="20"/>
          <w:szCs w:val="20"/>
          <w:highlight w:val="none"/>
        </w:rPr>
        <w:t xml:space="preserve">A</w:t>
      </w:r>
      <w:r>
        <w:rPr>
          <w:rFonts w:ascii="Arial" w:hAnsi="Arial" w:cs="Arial" w:eastAsia="Arial"/>
          <w:b/>
          <w:i/>
          <w:iCs/>
          <w:sz w:val="20"/>
          <w:szCs w:val="20"/>
          <w:highlight w:val="none"/>
        </w:rPr>
        <w:t xml:space="preserve">i sensi dell’art.35 del Regolamento del Consiglio Comunale, le sedute pubbliche del Consiglio Comunale vengono riprese e trasmesse via web e sono integralmente registrate su supporto digitale. Dette registrazioni sono consultabili attraverso il sito Intern</w:t>
      </w:r>
      <w:r>
        <w:rPr>
          <w:rFonts w:ascii="Arial" w:hAnsi="Arial" w:cs="Arial" w:eastAsia="Arial"/>
          <w:b/>
          <w:i/>
          <w:iCs/>
          <w:sz w:val="20"/>
          <w:szCs w:val="20"/>
          <w:highlight w:val="none"/>
        </w:rPr>
        <w:t xml:space="preserve">et del Comune.</w:t>
      </w:r>
      <w:r>
        <w:rPr>
          <w:bCs/>
          <w:i/>
          <w:sz w:val="20"/>
          <w:szCs w:val="20"/>
        </w:rPr>
      </w:r>
      <w:r/>
    </w:p>
    <w:p>
      <w:pPr>
        <w:jc w:val="center"/>
        <w:rPr>
          <w:rFonts w:ascii="Arial" w:hAnsi="Arial" w:cs="Arial" w:eastAsia="Arial"/>
          <w:b/>
          <w:bCs/>
          <w:sz w:val="24"/>
          <w:szCs w:val="24"/>
          <w:highlight w:val="none"/>
        </w:rPr>
      </w:pPr>
      <w:r>
        <w:rPr>
          <w:rFonts w:ascii="Arial" w:hAnsi="Arial" w:cs="Arial" w:eastAsia="Arial"/>
          <w:b/>
          <w:sz w:val="24"/>
          <w:highlight w:val="none"/>
        </w:rPr>
        <w:t xml:space="preserve">***</w:t>
      </w:r>
      <w:r>
        <w:rPr>
          <w:rFonts w:ascii="Arial" w:hAnsi="Arial" w:cs="Arial" w:eastAsia="Arial"/>
          <w:b/>
          <w:bCs/>
          <w:sz w:val="24"/>
          <w:szCs w:val="24"/>
          <w:highlight w:val="none"/>
        </w:rPr>
      </w:r>
      <w:r/>
    </w:p>
    <w:sectPr>
      <w:headerReference w:type="default" r:id="rId9"/>
      <w:footerReference w:type="default" r:id="rId10"/>
      <w:footnotePr/>
      <w:endnotePr/>
      <w:type w:val="nextPage"/>
      <w:pgSz w:w="11906" w:h="16838" w:orient="portrait"/>
      <w:pgMar w:top="1134" w:right="1134" w:bottom="1134" w:left="1134"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Times New Roman">
    <w:panose1 w:val="02020603050405020304"/>
  </w:font>
  <w:font w:name="Wingdings">
    <w:panose1 w:val="05010000000000000000"/>
  </w:font>
  <w:font w:name="Symbol">
    <w:panose1 w:val="05010000000000000000"/>
  </w:font>
  <w:font w:name="Arial">
    <w:panose1 w:val="020B0604020202020204"/>
  </w:font>
  <w:font w:name="SimSun">
    <w:panose1 w:val="02020603020101020101"/>
  </w:font>
  <w:font w:name="Courier New">
    <w:panose1 w:val="02070309020205020404"/>
  </w:font>
  <w:font w:name="Mangal">
    <w:panose1 w:val="02020603050405020304"/>
  </w:font>
  <w:font w:name="Liberation Serif">
    <w:panose1 w:val="02020603050405020304"/>
  </w:font>
  <w:font w:name="Calibri">
    <w:panose1 w:val="020F05020202040302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cs="Arial" w:eastAsia="Arial"/>
        <w:color w:val="000000"/>
        <w:sz w:val="18"/>
        <w:highlight w:val="none"/>
      </w:rPr>
    </w:r>
    <w:r/>
  </w:p>
  <w:p>
    <w:pPr>
      <w:ind w:left="0" w:right="0" w:firstLine="0"/>
      <w:jc w:val="left"/>
      <w:spacing w:before="0" w:after="0"/>
      <w:rPr>
        <w:rFonts w:ascii="Arial" w:hAnsi="Arial" w:cs="Arial" w:eastAsia="Arial"/>
        <w:color w:val="000000"/>
        <w:highlight w:val="none"/>
      </w:rPr>
      <w:pBdr>
        <w:top w:val="none" w:color="000000" w:sz="4" w:space="0"/>
        <w:left w:val="none" w:color="000000" w:sz="4" w:space="0"/>
        <w:bottom w:val="none" w:color="000000" w:sz="4" w:space="0"/>
        <w:right w:val="none" w:color="000000" w:sz="4" w:space="0"/>
      </w:pBdr>
    </w:pPr>
    <w:r>
      <w:rPr>
        <w:rFonts w:ascii="Arial" w:hAnsi="Arial" w:cs="Arial" w:eastAsia="Arial"/>
        <w:color w:val="000000"/>
        <w:sz w:val="18"/>
      </w:rPr>
      <w:t xml:space="preserve">Proposta di </w:t>
    </w:r>
    <w:r>
      <w:rPr>
        <w:rFonts w:ascii="Arial" w:hAnsi="Arial" w:cs="Arial" w:eastAsia="Arial"/>
        <w:color w:val="000000"/>
        <w:sz w:val="18"/>
      </w:rPr>
      <w:t xml:space="preserve">Delibera di Consiglio</w:t>
    </w:r>
    <w:r>
      <w:rPr>
        <w:rFonts w:ascii="Arial" w:hAnsi="Arial" w:cs="Arial" w:eastAsia="Arial"/>
        <w:color w:val="000000"/>
        <w:sz w:val="18"/>
      </w:rPr>
      <w:t xml:space="preserve"> n. 884 del 23/07/2026</w:t>
    </w:r>
    <w:r>
      <w:rPr>
        <w:rFonts w:ascii="Arial" w:hAnsi="Arial" w:cs="Arial" w:eastAsia="Arial"/>
        <w:color w:val="000000"/>
        <w:highlight w:val="none"/>
      </w:rPr>
    </w:r>
    <w:r/>
  </w:p>
  <w:p>
    <w:pPr>
      <w:pStyle w:val="733"/>
      <w:jc w:val="right"/>
      <w:rPr>
        <w:rFonts w:ascii="Arial" w:hAnsi="Arial" w:cs="Arial" w:eastAsia="Arial"/>
        <w:highlight w:val="none"/>
      </w:rPr>
    </w:pPr>
    <w:r>
      <w:rPr>
        <w:rFonts w:ascii="Arial" w:hAnsi="Arial" w:cs="Arial" w:eastAsia="Arial"/>
        <w:sz w:val="18"/>
      </w:rPr>
      <w:t xml:space="preserve">Pag. </w:t>
    </w:r>
    <w:fldSimple w:instr="PAGE \* MERGEFORMAT">
      <w:r>
        <w:rPr>
          <w:rFonts w:ascii="Arial" w:hAnsi="Arial" w:cs="Arial" w:eastAsia="Arial"/>
          <w:sz w:val="18"/>
        </w:rPr>
        <w:t xml:space="preserve">1</w:t>
      </w:r>
    </w:fldSimple>
    <w:r>
      <w:rPr>
        <w:rFonts w:ascii="Arial" w:hAnsi="Arial" w:cs="Arial" w:eastAsia="Arial"/>
        <w:sz w:val="18"/>
      </w:rPr>
    </w:r>
    <w:r>
      <w:rPr>
        <w:rFonts w:ascii="Arial" w:hAnsi="Arial" w:cs="Arial" w:eastAsia="Arial"/>
        <w:highlight w:val="none"/>
      </w:rPr>
    </w:r>
    <w:r/>
  </w:p>
  <w:p>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1"/>
    </w:pPr>
    <w:r/>
    <w:r/>
  </w:p>
  <w:p>
    <w:r>
      <w:rPr>
        <w:rFonts w:ascii="Times New Roman" w:hAnsi="Times New Roman" w:cs="Times New Roman" w:eastAsia="Times New Roman"/>
        <w:lang w:bidi="ar-SA" w:eastAsia="it-IT"/>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-226695</wp:posOffset>
              </wp:positionH>
              <wp:positionV relativeFrom="paragraph">
                <wp:posOffset>-144145</wp:posOffset>
              </wp:positionV>
              <wp:extent cx="1444625" cy="1776730"/>
              <wp:effectExtent l="0" t="0" r="0" b="0"/>
              <wp:wrapNone/>
              <wp:docPr id="1" name="Immagine 1" descr="logo1"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80020" name="Immagine 1" descr="logo1" hidden="0"/>
                      <pic:cNvPicPr>
                        <a:picLocks noChangeAspect="1"/>
                      </pic:cNvPicPr>
                      <pic:nvPr isPhoto="0" userDrawn="0"/>
                    </pic:nvPicPr>
                    <pic:blipFill>
                      <a:blip r:embed="rId1"/>
                      <a:stretch/>
                    </pic:blipFill>
                    <pic:spPr bwMode="auto">
                      <a:xfrm rot="0" flipH="0" flipV="0">
                        <a:off x="0" y="0"/>
                        <a:ext cx="1444624" cy="1776729"/>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text;margin-left:-17.8pt;mso-position-horizontal:absolute;mso-position-vertical-relative:text;margin-top:-11.3pt;mso-position-vertical:absolute;width:113.8pt;height:139.9pt;rotation:0;" stroked="false">
              <v:path textboxrect="0,0,0,0"/>
              <v:imagedata r:id="rId1" o:title=""/>
            </v:shape>
          </w:pict>
        </mc:Fallback>
      </mc:AlternateContent>
    </w:r>
    <w:r/>
  </w:p>
  <w:p>
    <w:pPr>
      <w:pStyle w:val="774"/>
    </w:pPr>
    <w:r/>
    <w:r/>
  </w:p>
  <w:p>
    <w:r/>
    <w:r/>
  </w:p>
  <w:p>
    <w:r/>
    <w:r/>
  </w:p>
  <w:p>
    <w:r/>
    <w:r/>
  </w:p>
  <w:p>
    <w:r/>
    <w:r/>
  </w:p>
  <w:p>
    <w: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hAnsi="Liberation Serif" w:cs="Mangal" w:eastAsia="SimSun" w:hint="default"/>
        <w:sz w:val="24"/>
        <w:szCs w:val="24"/>
        <w:lang w:val="it-IT" w:bidi="hi-IN"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
    <w:name w:val="Normal"/>
    <w:qFormat/>
  </w:style>
  <w:style w:type="character" w:styleId="9">
    <w:name w:val="Default Paragraph Font"/>
    <w:uiPriority w:val="1"/>
    <w:semiHidden/>
    <w:unhideWhenUsed/>
  </w:style>
  <w:style w:type="numbering" w:styleId="10">
    <w:name w:val="No List"/>
    <w:uiPriority w:val="99"/>
    <w:semiHidden/>
    <w:unhideWhenUsed/>
  </w:style>
  <w:style w:type="paragraph" w:styleId="11">
    <w:name w:val="Heading 1"/>
    <w:basedOn w:val="8"/>
    <w:next w:val="8"/>
    <w:link w:val="12"/>
    <w:uiPriority w:val="9"/>
    <w:qFormat/>
    <w:pPr>
      <w:keepLines/>
      <w:keepNext/>
      <w:spacing w:before="480" w:after="200"/>
      <w:outlineLvl w:val="0"/>
    </w:pPr>
    <w:rPr>
      <w:rFonts w:ascii="Arial" w:hAnsi="Arial" w:cs="Arial" w:eastAsia="Arial"/>
      <w:sz w:val="40"/>
      <w:szCs w:val="40"/>
    </w:rPr>
  </w:style>
  <w:style w:type="character" w:styleId="12">
    <w:name w:val="Heading 1 Char"/>
    <w:basedOn w:val="9"/>
    <w:link w:val="11"/>
    <w:uiPriority w:val="9"/>
    <w:rPr>
      <w:rFonts w:ascii="Arial" w:hAnsi="Arial" w:cs="Arial" w:eastAsia="Arial"/>
      <w:sz w:val="40"/>
      <w:szCs w:val="40"/>
    </w:rPr>
  </w:style>
  <w:style w:type="paragraph" w:styleId="13">
    <w:name w:val="Heading 2"/>
    <w:basedOn w:val="8"/>
    <w:next w:val="8"/>
    <w:link w:val="14"/>
    <w:uiPriority w:val="9"/>
    <w:unhideWhenUsed/>
    <w:qFormat/>
    <w:pPr>
      <w:keepLines/>
      <w:keepNext/>
      <w:spacing w:before="360" w:after="200"/>
      <w:outlineLvl w:val="1"/>
    </w:pPr>
    <w:rPr>
      <w:rFonts w:ascii="Arial" w:hAnsi="Arial" w:cs="Arial" w:eastAsia="Arial"/>
      <w:sz w:val="34"/>
    </w:rPr>
  </w:style>
  <w:style w:type="character" w:styleId="14">
    <w:name w:val="Heading 2 Char"/>
    <w:basedOn w:val="9"/>
    <w:link w:val="13"/>
    <w:uiPriority w:val="9"/>
    <w:rPr>
      <w:rFonts w:ascii="Arial" w:hAnsi="Arial" w:cs="Arial" w:eastAsia="Arial"/>
      <w:sz w:val="34"/>
    </w:rPr>
  </w:style>
  <w:style w:type="paragraph" w:styleId="15">
    <w:name w:val="Heading 3"/>
    <w:basedOn w:val="8"/>
    <w:next w:val="8"/>
    <w:link w:val="16"/>
    <w:uiPriority w:val="9"/>
    <w:unhideWhenUsed/>
    <w:qFormat/>
    <w:pPr>
      <w:keepLines/>
      <w:keepNext/>
      <w:spacing w:before="320" w:after="200"/>
      <w:outlineLvl w:val="2"/>
    </w:pPr>
    <w:rPr>
      <w:rFonts w:ascii="Arial" w:hAnsi="Arial" w:cs="Arial" w:eastAsia="Arial"/>
      <w:sz w:val="30"/>
      <w:szCs w:val="30"/>
    </w:rPr>
  </w:style>
  <w:style w:type="character" w:styleId="16">
    <w:name w:val="Heading 3 Char"/>
    <w:basedOn w:val="9"/>
    <w:link w:val="15"/>
    <w:uiPriority w:val="9"/>
    <w:rPr>
      <w:rFonts w:ascii="Arial" w:hAnsi="Arial" w:cs="Arial" w:eastAsia="Arial"/>
      <w:sz w:val="30"/>
      <w:szCs w:val="30"/>
    </w:rPr>
  </w:style>
  <w:style w:type="paragraph" w:styleId="17">
    <w:name w:val="Heading 4"/>
    <w:basedOn w:val="8"/>
    <w:next w:val="8"/>
    <w:link w:val="18"/>
    <w:uiPriority w:val="9"/>
    <w:unhideWhenUsed/>
    <w:qFormat/>
    <w:pPr>
      <w:keepLines/>
      <w:keepNext/>
      <w:spacing w:before="320" w:after="200"/>
      <w:outlineLvl w:val="3"/>
    </w:pPr>
    <w:rPr>
      <w:rFonts w:ascii="Arial" w:hAnsi="Arial" w:cs="Arial" w:eastAsia="Arial"/>
      <w:b/>
      <w:bCs/>
      <w:sz w:val="26"/>
      <w:szCs w:val="26"/>
    </w:rPr>
  </w:style>
  <w:style w:type="character" w:styleId="18">
    <w:name w:val="Heading 4 Char"/>
    <w:basedOn w:val="9"/>
    <w:link w:val="17"/>
    <w:uiPriority w:val="9"/>
    <w:rPr>
      <w:rFonts w:ascii="Arial" w:hAnsi="Arial" w:cs="Arial" w:eastAsia="Arial"/>
      <w:b/>
      <w:bCs/>
      <w:sz w:val="26"/>
      <w:szCs w:val="26"/>
    </w:rPr>
  </w:style>
  <w:style w:type="paragraph" w:styleId="19">
    <w:name w:val="Heading 5"/>
    <w:basedOn w:val="8"/>
    <w:next w:val="8"/>
    <w:link w:val="20"/>
    <w:uiPriority w:val="9"/>
    <w:unhideWhenUsed/>
    <w:qFormat/>
    <w:pPr>
      <w:keepLines/>
      <w:keepNext/>
      <w:spacing w:before="320" w:after="200"/>
      <w:outlineLvl w:val="4"/>
    </w:pPr>
    <w:rPr>
      <w:rFonts w:ascii="Arial" w:hAnsi="Arial" w:cs="Arial" w:eastAsia="Arial"/>
      <w:b/>
      <w:bCs/>
      <w:sz w:val="24"/>
      <w:szCs w:val="24"/>
    </w:rPr>
  </w:style>
  <w:style w:type="character" w:styleId="20">
    <w:name w:val="Heading 5 Char"/>
    <w:basedOn w:val="9"/>
    <w:link w:val="19"/>
    <w:uiPriority w:val="9"/>
    <w:rPr>
      <w:rFonts w:ascii="Arial" w:hAnsi="Arial" w:cs="Arial" w:eastAsia="Arial"/>
      <w:b/>
      <w:bCs/>
      <w:sz w:val="24"/>
      <w:szCs w:val="24"/>
    </w:rPr>
  </w:style>
  <w:style w:type="paragraph" w:styleId="21">
    <w:name w:val="Heading 6"/>
    <w:basedOn w:val="8"/>
    <w:next w:val="8"/>
    <w:link w:val="22"/>
    <w:uiPriority w:val="9"/>
    <w:unhideWhenUsed/>
    <w:qFormat/>
    <w:pPr>
      <w:keepLines/>
      <w:keepNext/>
      <w:spacing w:before="320" w:after="200"/>
      <w:outlineLvl w:val="5"/>
    </w:pPr>
    <w:rPr>
      <w:rFonts w:ascii="Arial" w:hAnsi="Arial" w:cs="Arial" w:eastAsia="Arial"/>
      <w:b/>
      <w:bCs/>
      <w:sz w:val="22"/>
      <w:szCs w:val="22"/>
    </w:rPr>
  </w:style>
  <w:style w:type="character" w:styleId="22">
    <w:name w:val="Heading 6 Char"/>
    <w:basedOn w:val="9"/>
    <w:link w:val="21"/>
    <w:uiPriority w:val="9"/>
    <w:rPr>
      <w:rFonts w:ascii="Arial" w:hAnsi="Arial" w:cs="Arial" w:eastAsia="Arial"/>
      <w:b/>
      <w:bCs/>
      <w:sz w:val="22"/>
      <w:szCs w:val="22"/>
    </w:rPr>
  </w:style>
  <w:style w:type="paragraph" w:styleId="23">
    <w:name w:val="Heading 7"/>
    <w:basedOn w:val="8"/>
    <w:next w:val="8"/>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8"/>
    <w:next w:val="8"/>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8"/>
    <w:next w:val="8"/>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9"/>
    <w:link w:val="27"/>
    <w:uiPriority w:val="9"/>
    <w:rPr>
      <w:rFonts w:ascii="Arial" w:hAnsi="Arial" w:cs="Arial" w:eastAsia="Arial"/>
      <w:i/>
      <w:iCs/>
      <w:sz w:val="21"/>
      <w:szCs w:val="21"/>
    </w:rPr>
  </w:style>
  <w:style w:type="paragraph" w:styleId="29">
    <w:name w:val="List Paragraph"/>
    <w:basedOn w:val="8"/>
    <w:uiPriority w:val="34"/>
    <w:qFormat/>
    <w:pPr>
      <w:contextualSpacing/>
      <w:ind w:left="720"/>
    </w:pPr>
  </w:style>
  <w:style w:type="table" w:styleId="30">
    <w:name w:val="Normal Table"/>
    <w:uiPriority w:val="99"/>
    <w:semiHidden/>
    <w:unhideWhenUsed/>
    <w:tblPr>
      <w:tblInd w:w="0" w:type="dxa"/>
      <w:tblCellMar>
        <w:left w:w="108" w:type="dxa"/>
        <w:top w:w="0" w:type="dxa"/>
        <w:right w:w="108" w:type="dxa"/>
        <w:bottom w:w="0" w:type="dxa"/>
      </w:tblCellMar>
    </w:tblPr>
  </w:style>
  <w:style w:type="paragraph" w:styleId="31">
    <w:name w:val="No Spacing"/>
    <w:uiPriority w:val="1"/>
    <w:qFormat/>
    <w:pPr>
      <w:spacing w:before="0" w:after="0" w:line="240" w:lineRule="auto"/>
    </w:pPr>
  </w:style>
  <w:style w:type="paragraph" w:styleId="32">
    <w:name w:val="Title"/>
    <w:basedOn w:val="8"/>
    <w:next w:val="8"/>
    <w:link w:val="33"/>
    <w:uiPriority w:val="10"/>
    <w:qFormat/>
    <w:pPr>
      <w:contextualSpacing/>
      <w:spacing w:before="300" w:after="200"/>
    </w:pPr>
    <w:rPr>
      <w:sz w:val="48"/>
      <w:szCs w:val="48"/>
    </w:rPr>
  </w:style>
  <w:style w:type="character" w:styleId="33">
    <w:name w:val="Title Char"/>
    <w:basedOn w:val="9"/>
    <w:link w:val="32"/>
    <w:uiPriority w:val="10"/>
    <w:rPr>
      <w:sz w:val="48"/>
      <w:szCs w:val="48"/>
    </w:rPr>
  </w:style>
  <w:style w:type="paragraph" w:styleId="34">
    <w:name w:val="Subtitle"/>
    <w:basedOn w:val="8"/>
    <w:next w:val="8"/>
    <w:link w:val="35"/>
    <w:uiPriority w:val="11"/>
    <w:qFormat/>
    <w:pPr>
      <w:spacing w:before="200" w:after="200"/>
    </w:pPr>
    <w:rPr>
      <w:sz w:val="24"/>
      <w:szCs w:val="24"/>
    </w:rPr>
  </w:style>
  <w:style w:type="character" w:styleId="35">
    <w:name w:val="Subtitle Char"/>
    <w:basedOn w:val="9"/>
    <w:link w:val="34"/>
    <w:uiPriority w:val="11"/>
    <w:rPr>
      <w:sz w:val="24"/>
      <w:szCs w:val="24"/>
    </w:rPr>
  </w:style>
  <w:style w:type="paragraph" w:styleId="36">
    <w:name w:val="Quote"/>
    <w:basedOn w:val="8"/>
    <w:next w:val="8"/>
    <w:link w:val="37"/>
    <w:uiPriority w:val="29"/>
    <w:qFormat/>
    <w:pPr>
      <w:ind w:left="720" w:right="720"/>
    </w:pPr>
    <w:rPr>
      <w:i/>
    </w:rPr>
  </w:style>
  <w:style w:type="character" w:styleId="37">
    <w:name w:val="Quote Char"/>
    <w:link w:val="36"/>
    <w:uiPriority w:val="29"/>
    <w:rPr>
      <w:i/>
    </w:rPr>
  </w:style>
  <w:style w:type="paragraph" w:styleId="38">
    <w:name w:val="Intense Quote"/>
    <w:basedOn w:val="8"/>
    <w:next w:val="8"/>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paragraph" w:styleId="40">
    <w:name w:val="Header"/>
    <w:basedOn w:val="8"/>
    <w:link w:val="41"/>
    <w:uiPriority w:val="99"/>
    <w:unhideWhenUsed/>
    <w:pPr>
      <w:spacing w:after="0" w:line="240" w:lineRule="auto"/>
      <w:tabs>
        <w:tab w:val="center" w:pos="7143" w:leader="none"/>
        <w:tab w:val="right" w:pos="14287" w:leader="none"/>
      </w:tabs>
    </w:pPr>
  </w:style>
  <w:style w:type="character" w:styleId="41">
    <w:name w:val="Header Char"/>
    <w:basedOn w:val="9"/>
    <w:link w:val="40"/>
    <w:uiPriority w:val="99"/>
  </w:style>
  <w:style w:type="paragraph" w:styleId="42">
    <w:name w:val="Footer"/>
    <w:basedOn w:val="8"/>
    <w:link w:val="45"/>
    <w:uiPriority w:val="99"/>
    <w:unhideWhenUsed/>
    <w:pPr>
      <w:spacing w:after="0" w:line="240" w:lineRule="auto"/>
      <w:tabs>
        <w:tab w:val="center" w:pos="7143" w:leader="none"/>
        <w:tab w:val="right" w:pos="14287" w:leader="none"/>
      </w:tabs>
    </w:pPr>
  </w:style>
  <w:style w:type="character" w:styleId="43">
    <w:name w:val="Footer Char"/>
    <w:basedOn w:val="9"/>
    <w:link w:val="42"/>
    <w:uiPriority w:val="99"/>
  </w:style>
  <w:style w:type="paragraph" w:styleId="44">
    <w:name w:val="Caption"/>
    <w:basedOn w:val="8"/>
    <w:next w:val="8"/>
    <w:uiPriority w:val="35"/>
    <w:semiHidden/>
    <w:unhideWhenUsed/>
    <w:qFormat/>
    <w:pPr>
      <w:spacing w:line="276" w:lineRule="auto"/>
    </w:pPr>
    <w:rPr>
      <w:b/>
      <w:bCs/>
      <w:color w:val="4F81BD" w:themeColor="accent1"/>
      <w:sz w:val="18"/>
      <w:szCs w:val="18"/>
    </w:rPr>
  </w:style>
  <w:style w:type="character" w:styleId="45">
    <w:name w:val="Caption Char"/>
    <w:basedOn w:val="44"/>
    <w:link w:val="42"/>
    <w:uiPriority w:val="99"/>
  </w:style>
  <w:style w:type="table" w:styleId="46">
    <w:name w:val="Table Grid"/>
    <w:basedOn w:val="3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7">
    <w:name w:val="Table Grid Light"/>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3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3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3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3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3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3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3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3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3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
    <w:name w:val="Grid Table 5 Dark - Accent 2"/>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
    <w:name w:val="Grid Table 5 Dark - Accent 3"/>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
    <w:name w:val="Grid Table 5 Dark- Accent 4"/>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
    <w:name w:val="Grid Table 5 Dark - Accent 5"/>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
    <w:name w:val="Grid Table 5 Dark - Accent 6"/>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
    <w:name w:val="Grid Table 6 Colorful"/>
    <w:basedOn w:val="3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3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3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3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3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3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3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3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3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3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3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3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3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3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3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3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3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3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3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3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3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3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3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3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3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3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3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8">
    <w:name w:val="List Table 3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9">
    <w:name w:val="List Table 3 - Accent 3"/>
    <w:basedOn w:val="3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0">
    <w:name w:val="List Table 3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1">
    <w:name w:val="List Table 3 - Accent 5"/>
    <w:basedOn w:val="3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2">
    <w:name w:val="List Table 3 - Accent 6"/>
    <w:basedOn w:val="3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3">
    <w:name w:val="List Table 4"/>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3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
    <w:name w:val="List Table 4 - Accent 2"/>
    <w:basedOn w:val="3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
    <w:name w:val="List Table 4 - Accent 3"/>
    <w:basedOn w:val="3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7">
    <w:name w:val="List Table 4 - Accent 4"/>
    <w:basedOn w:val="3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8">
    <w:name w:val="List Table 4 - Accent 5"/>
    <w:basedOn w:val="3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9">
    <w:name w:val="List Table 4 - Accent 6"/>
    <w:basedOn w:val="3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0">
    <w:name w:val="List Table 5 Dark"/>
    <w:basedOn w:val="3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3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3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3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3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3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3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3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3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9">
    <w:name w:val="List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0">
    <w:name w:val="List Table 6 Colorful - Accent 3"/>
    <w:basedOn w:val="3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1">
    <w:name w:val="List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2">
    <w:name w:val="List Table 6 Colorful - Accent 5"/>
    <w:basedOn w:val="3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3">
    <w:name w:val="List Table 6 Colorful - Accent 6"/>
    <w:basedOn w:val="3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4">
    <w:name w:val="List Table 7 Colorful"/>
    <w:basedOn w:val="3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3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6">
    <w:name w:val="List Table 7 Colorful - Accent 2"/>
    <w:basedOn w:val="3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3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3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3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3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1">
    <w:name w:val="Lined - Accent"/>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3">
    <w:name w:val="Lined - Accent 2"/>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4">
    <w:name w:val="Lined - Accent 3"/>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5">
    <w:name w:val="Lined - Accent 4"/>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6">
    <w:name w:val="Lined - Accent 5"/>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7">
    <w:name w:val="Lined - Accent 6"/>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8">
    <w:name w:val="Bordered &amp; Lined - Accent"/>
    <w:basedOn w:val="3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3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0">
    <w:name w:val="Bordered &amp; Lined - Accent 2"/>
    <w:basedOn w:val="3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1">
    <w:name w:val="Bordered &amp; Lined - Accent 3"/>
    <w:basedOn w:val="3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2">
    <w:name w:val="Bordered &amp; Lined - Accent 4"/>
    <w:basedOn w:val="3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3">
    <w:name w:val="Bordered &amp; Lined - Accent 5"/>
    <w:basedOn w:val="3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4">
    <w:name w:val="Bordered &amp; Lined - Accent 6"/>
    <w:basedOn w:val="3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5">
    <w:name w:val="Bordered"/>
    <w:basedOn w:val="3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2">
    <w:name w:val="Hyperlink"/>
    <w:uiPriority w:val="99"/>
    <w:unhideWhenUsed/>
    <w:rPr>
      <w:color w:val="0000FF" w:themeColor="hyperlink"/>
      <w:u w:val="single"/>
    </w:rPr>
  </w:style>
  <w:style w:type="paragraph" w:styleId="173">
    <w:name w:val="footnote text"/>
    <w:basedOn w:val="8"/>
    <w:link w:val="174"/>
    <w:uiPriority w:val="99"/>
    <w:semiHidden/>
    <w:unhideWhenUsed/>
    <w:pPr>
      <w:spacing w:after="40" w:line="240" w:lineRule="auto"/>
    </w:pPr>
    <w:rPr>
      <w:sz w:val="18"/>
    </w:rPr>
  </w:style>
  <w:style w:type="character" w:styleId="174">
    <w:name w:val="Footnote Text Char"/>
    <w:link w:val="173"/>
    <w:uiPriority w:val="99"/>
    <w:rPr>
      <w:sz w:val="18"/>
    </w:rPr>
  </w:style>
  <w:style w:type="character" w:styleId="175">
    <w:name w:val="footnote reference"/>
    <w:basedOn w:val="9"/>
    <w:uiPriority w:val="99"/>
    <w:unhideWhenUsed/>
    <w:rPr>
      <w:vertAlign w:val="superscript"/>
    </w:rPr>
  </w:style>
  <w:style w:type="paragraph" w:styleId="176">
    <w:name w:val="endnote text"/>
    <w:basedOn w:val="8"/>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9"/>
    <w:uiPriority w:val="99"/>
    <w:semiHidden/>
    <w:unhideWhenUsed/>
    <w:rPr>
      <w:vertAlign w:val="superscript"/>
    </w:rPr>
  </w:style>
  <w:style w:type="paragraph" w:styleId="179">
    <w:name w:val="toc 1"/>
    <w:basedOn w:val="8"/>
    <w:next w:val="8"/>
    <w:uiPriority w:val="39"/>
    <w:unhideWhenUsed/>
    <w:pPr>
      <w:ind w:left="0" w:right="0" w:firstLine="0"/>
      <w:spacing w:after="57"/>
    </w:pPr>
  </w:style>
  <w:style w:type="paragraph" w:styleId="180">
    <w:name w:val="toc 2"/>
    <w:basedOn w:val="8"/>
    <w:next w:val="8"/>
    <w:uiPriority w:val="39"/>
    <w:unhideWhenUsed/>
    <w:pPr>
      <w:ind w:left="283" w:right="0" w:firstLine="0"/>
      <w:spacing w:after="57"/>
    </w:pPr>
  </w:style>
  <w:style w:type="paragraph" w:styleId="181">
    <w:name w:val="toc 3"/>
    <w:basedOn w:val="8"/>
    <w:next w:val="8"/>
    <w:uiPriority w:val="39"/>
    <w:unhideWhenUsed/>
    <w:pPr>
      <w:ind w:left="567" w:right="0" w:firstLine="0"/>
      <w:spacing w:after="57"/>
    </w:pPr>
  </w:style>
  <w:style w:type="paragraph" w:styleId="182">
    <w:name w:val="toc 4"/>
    <w:basedOn w:val="8"/>
    <w:next w:val="8"/>
    <w:uiPriority w:val="39"/>
    <w:unhideWhenUsed/>
    <w:pPr>
      <w:ind w:left="850" w:right="0" w:firstLine="0"/>
      <w:spacing w:after="57"/>
    </w:pPr>
  </w:style>
  <w:style w:type="paragraph" w:styleId="183">
    <w:name w:val="toc 5"/>
    <w:basedOn w:val="8"/>
    <w:next w:val="8"/>
    <w:uiPriority w:val="39"/>
    <w:unhideWhenUsed/>
    <w:pPr>
      <w:ind w:left="1134" w:right="0" w:firstLine="0"/>
      <w:spacing w:after="57"/>
    </w:pPr>
  </w:style>
  <w:style w:type="paragraph" w:styleId="184">
    <w:name w:val="toc 6"/>
    <w:basedOn w:val="8"/>
    <w:next w:val="8"/>
    <w:uiPriority w:val="39"/>
    <w:unhideWhenUsed/>
    <w:pPr>
      <w:ind w:left="1417" w:right="0" w:firstLine="0"/>
      <w:spacing w:after="57"/>
    </w:pPr>
  </w:style>
  <w:style w:type="paragraph" w:styleId="185">
    <w:name w:val="toc 7"/>
    <w:basedOn w:val="8"/>
    <w:next w:val="8"/>
    <w:uiPriority w:val="39"/>
    <w:unhideWhenUsed/>
    <w:pPr>
      <w:ind w:left="1701" w:right="0" w:firstLine="0"/>
      <w:spacing w:after="57"/>
    </w:pPr>
  </w:style>
  <w:style w:type="paragraph" w:styleId="186">
    <w:name w:val="toc 8"/>
    <w:basedOn w:val="8"/>
    <w:next w:val="8"/>
    <w:uiPriority w:val="39"/>
    <w:unhideWhenUsed/>
    <w:pPr>
      <w:ind w:left="1984" w:right="0" w:firstLine="0"/>
      <w:spacing w:after="57"/>
    </w:pPr>
  </w:style>
  <w:style w:type="paragraph" w:styleId="187">
    <w:name w:val="toc 9"/>
    <w:basedOn w:val="8"/>
    <w:next w:val="8"/>
    <w:uiPriority w:val="39"/>
    <w:unhideWhenUsed/>
    <w:pPr>
      <w:ind w:left="2268" w:right="0" w:firstLine="0"/>
      <w:spacing w:after="57"/>
    </w:pPr>
  </w:style>
  <w:style w:type="paragraph" w:styleId="188">
    <w:name w:val="TOC Heading"/>
    <w:uiPriority w:val="39"/>
    <w:unhideWhenUsed/>
  </w:style>
  <w:style w:type="paragraph" w:styleId="189">
    <w:name w:val="table of figures"/>
    <w:basedOn w:val="8"/>
    <w:next w:val="8"/>
    <w:uiPriority w:val="99"/>
    <w:unhideWhenUsed/>
    <w:pPr>
      <w:spacing w:after="0" w:afterAutospacing="0"/>
    </w:pPr>
  </w:style>
  <w:style w:type="paragraph" w:styleId="731">
    <w:name w:val="Header 197ddd35896c827c49bfae1e78692cf6"/>
    <w:basedOn w:val="746"/>
    <w:link w:val="732"/>
    <w:uiPriority w:val="99"/>
    <w:unhideWhenUsed/>
    <w:pPr>
      <w:spacing w:after="0" w:line="240" w:lineRule="auto"/>
      <w:tabs>
        <w:tab w:val="center" w:pos="7143" w:leader="none"/>
        <w:tab w:val="right" w:pos="14287" w:leader="none"/>
      </w:tabs>
    </w:pPr>
  </w:style>
  <w:style w:type="character" w:styleId="732">
    <w:name w:val="Header Char 197ddd35896c827c49bfae1e78692cf6"/>
    <w:link w:val="731"/>
    <w:uiPriority w:val="99"/>
  </w:style>
  <w:style w:type="paragraph" w:styleId="733">
    <w:name w:val="Footer 197ddd35896c827c49bfae1e78692cf6"/>
    <w:basedOn w:val="746"/>
    <w:link w:val="735"/>
    <w:uiPriority w:val="99"/>
    <w:unhideWhenUsed/>
    <w:pPr>
      <w:spacing w:after="0" w:line="240" w:lineRule="auto"/>
      <w:tabs>
        <w:tab w:val="center" w:pos="7143" w:leader="none"/>
        <w:tab w:val="right" w:pos="14287" w:leader="none"/>
      </w:tabs>
    </w:pPr>
  </w:style>
  <w:style w:type="character" w:styleId="734">
    <w:name w:val="Footer Char 197ddd35896c827c49bfae1e78692cf6"/>
    <w:link w:val="733"/>
    <w:uiPriority w:val="99"/>
  </w:style>
  <w:style w:type="character" w:styleId="735">
    <w:name w:val="Caption Char 197ddd35896c827c49bfae1e78692cf6"/>
    <w:link w:val="733"/>
    <w:uiPriority w:val="99"/>
  </w:style>
  <w:style w:type="character" w:styleId="736">
    <w:name w:val="Hyperlink 197ddd35896c827c49bfae1e78692cf6"/>
    <w:uiPriority w:val="99"/>
    <w:unhideWhenUsed/>
    <w:rPr>
      <w:color w:val="0000FF" w:themeColor="hyperlink"/>
      <w:u w:val="single"/>
    </w:rPr>
  </w:style>
  <w:style w:type="paragraph" w:styleId="737">
    <w:name w:val="toc 1 197ddd35896c827c49bfae1e78692cf6"/>
    <w:basedOn w:val="746"/>
    <w:uiPriority w:val="39"/>
    <w:unhideWhenUsed/>
    <w:pPr>
      <w:ind w:left="0" w:right="0" w:firstLine="0"/>
      <w:spacing w:after="57"/>
    </w:pPr>
  </w:style>
  <w:style w:type="paragraph" w:styleId="738">
    <w:name w:val="toc 2 197ddd35896c827c49bfae1e78692cf6"/>
    <w:basedOn w:val="746"/>
    <w:uiPriority w:val="39"/>
    <w:unhideWhenUsed/>
    <w:pPr>
      <w:ind w:left="283" w:right="0" w:firstLine="0"/>
      <w:spacing w:after="57"/>
    </w:pPr>
  </w:style>
  <w:style w:type="paragraph" w:styleId="739">
    <w:name w:val="toc 3 197ddd35896c827c49bfae1e78692cf6"/>
    <w:basedOn w:val="746"/>
    <w:uiPriority w:val="39"/>
    <w:unhideWhenUsed/>
    <w:pPr>
      <w:ind w:left="567" w:right="0" w:firstLine="0"/>
      <w:spacing w:after="57"/>
    </w:pPr>
  </w:style>
  <w:style w:type="paragraph" w:styleId="740">
    <w:name w:val="toc 4 197ddd35896c827c49bfae1e78692cf6"/>
    <w:basedOn w:val="746"/>
    <w:uiPriority w:val="39"/>
    <w:unhideWhenUsed/>
    <w:pPr>
      <w:ind w:left="850" w:right="0" w:firstLine="0"/>
      <w:spacing w:after="57"/>
    </w:pPr>
  </w:style>
  <w:style w:type="paragraph" w:styleId="741">
    <w:name w:val="toc 5 197ddd35896c827c49bfae1e78692cf6"/>
    <w:basedOn w:val="746"/>
    <w:uiPriority w:val="39"/>
    <w:unhideWhenUsed/>
    <w:pPr>
      <w:ind w:left="1134" w:right="0" w:firstLine="0"/>
      <w:spacing w:after="57"/>
    </w:pPr>
  </w:style>
  <w:style w:type="paragraph" w:styleId="742">
    <w:name w:val="toc 6 197ddd35896c827c49bfae1e78692cf6"/>
    <w:basedOn w:val="746"/>
    <w:uiPriority w:val="39"/>
    <w:unhideWhenUsed/>
    <w:pPr>
      <w:ind w:left="1417" w:right="0" w:firstLine="0"/>
      <w:spacing w:after="57"/>
    </w:pPr>
  </w:style>
  <w:style w:type="paragraph" w:styleId="743">
    <w:name w:val="toc 7 197ddd35896c827c49bfae1e78692cf6"/>
    <w:basedOn w:val="746"/>
    <w:uiPriority w:val="39"/>
    <w:unhideWhenUsed/>
    <w:pPr>
      <w:ind w:left="1701" w:right="0" w:firstLine="0"/>
      <w:spacing w:after="57"/>
    </w:pPr>
  </w:style>
  <w:style w:type="paragraph" w:styleId="744">
    <w:name w:val="toc 8 197ddd35896c827c49bfae1e78692cf6"/>
    <w:basedOn w:val="746"/>
    <w:uiPriority w:val="39"/>
    <w:unhideWhenUsed/>
    <w:pPr>
      <w:ind w:left="1984" w:right="0" w:firstLine="0"/>
      <w:spacing w:after="57"/>
    </w:pPr>
  </w:style>
  <w:style w:type="paragraph" w:styleId="745">
    <w:name w:val="toc 9 197ddd35896c827c49bfae1e78692cf6"/>
    <w:basedOn w:val="746"/>
    <w:uiPriority w:val="39"/>
    <w:unhideWhenUsed/>
    <w:pPr>
      <w:ind w:left="2268" w:right="0" w:firstLine="0"/>
      <w:spacing w:after="57"/>
    </w:pPr>
  </w:style>
  <w:style w:type="paragraph" w:styleId="746" w:default="1">
    <w:name w:val="Normal 197ddd35896c827c49bfae1e78692cf6"/>
    <w:qFormat/>
    <w:pPr>
      <w:widowControl w:val="off"/>
    </w:pPr>
    <w:rPr>
      <w:rFonts w:ascii="Liberation Serif" w:hAnsi="Liberation Serif" w:cs="Mangal" w:eastAsia="SimSun"/>
      <w:color w:val="auto"/>
      <w:sz w:val="24"/>
      <w:szCs w:val="24"/>
      <w:lang w:val="it-IT" w:bidi="hi-IN" w:eastAsia="zh-CN"/>
    </w:rPr>
  </w:style>
  <w:style w:type="character" w:styleId="747" w:default="1">
    <w:name w:val="Default Paragraph Font 197ddd35896c827c49bfae1e78692cf6"/>
    <w:uiPriority w:val="1"/>
    <w:semiHidden/>
    <w:unhideWhenUsed/>
  </w:style>
  <w:style w:type="numbering" w:styleId="748" w:default="1">
    <w:name w:val="No List 197ddd35896c827c49bfae1e78692cf6"/>
    <w:uiPriority w:val="99"/>
    <w:semiHidden/>
    <w:unhideWhenUsed/>
  </w:style>
  <w:style w:type="table" w:styleId="749" w:default="1">
    <w:name w:val="Normal Table 197ddd35896c827c49bfae1e78692cf6"/>
    <w:uiPriority w:val="99"/>
    <w:semiHidden/>
    <w:unhideWhenUsed/>
    <w:tblPr/>
  </w:style>
  <w:style w:type="character" w:styleId="750">
    <w:name w:val="Hyperlink 45d67a2dc75b59cdb6470000d6b6fa64"/>
    <w:uiPriority w:val="99"/>
    <w:unhideWhenUsed/>
    <w:rPr>
      <w:color w:val="0000FF" w:themeColor="hyperlink"/>
      <w:u w:val="single"/>
    </w:rPr>
  </w:style>
  <w:style w:type="paragraph" w:styleId="751">
    <w:name w:val="toc 1 45d67a2dc75b59cdb6470000d6b6fa64"/>
    <w:basedOn w:val="760"/>
    <w:uiPriority w:val="39"/>
    <w:unhideWhenUsed/>
    <w:pPr>
      <w:ind w:left="0" w:right="0" w:firstLine="0"/>
      <w:spacing w:after="57"/>
    </w:pPr>
  </w:style>
  <w:style w:type="paragraph" w:styleId="752">
    <w:name w:val="toc 2 45d67a2dc75b59cdb6470000d6b6fa64"/>
    <w:basedOn w:val="760"/>
    <w:uiPriority w:val="39"/>
    <w:unhideWhenUsed/>
    <w:pPr>
      <w:ind w:left="283" w:right="0" w:firstLine="0"/>
      <w:spacing w:after="57"/>
    </w:pPr>
  </w:style>
  <w:style w:type="paragraph" w:styleId="753">
    <w:name w:val="toc 3 45d67a2dc75b59cdb6470000d6b6fa64"/>
    <w:basedOn w:val="760"/>
    <w:uiPriority w:val="39"/>
    <w:unhideWhenUsed/>
    <w:pPr>
      <w:ind w:left="567" w:right="0" w:firstLine="0"/>
      <w:spacing w:after="57"/>
    </w:pPr>
  </w:style>
  <w:style w:type="paragraph" w:styleId="754">
    <w:name w:val="toc 4 45d67a2dc75b59cdb6470000d6b6fa64"/>
    <w:basedOn w:val="760"/>
    <w:uiPriority w:val="39"/>
    <w:unhideWhenUsed/>
    <w:pPr>
      <w:ind w:left="850" w:right="0" w:firstLine="0"/>
      <w:spacing w:after="57"/>
    </w:pPr>
  </w:style>
  <w:style w:type="paragraph" w:styleId="755">
    <w:name w:val="toc 5 45d67a2dc75b59cdb6470000d6b6fa64"/>
    <w:basedOn w:val="760"/>
    <w:uiPriority w:val="39"/>
    <w:unhideWhenUsed/>
    <w:pPr>
      <w:ind w:left="1134" w:right="0" w:firstLine="0"/>
      <w:spacing w:after="57"/>
    </w:pPr>
  </w:style>
  <w:style w:type="paragraph" w:styleId="756">
    <w:name w:val="toc 6 45d67a2dc75b59cdb6470000d6b6fa64"/>
    <w:basedOn w:val="760"/>
    <w:uiPriority w:val="39"/>
    <w:unhideWhenUsed/>
    <w:pPr>
      <w:ind w:left="1417" w:right="0" w:firstLine="0"/>
      <w:spacing w:after="57"/>
    </w:pPr>
  </w:style>
  <w:style w:type="paragraph" w:styleId="757">
    <w:name w:val="toc 7 45d67a2dc75b59cdb6470000d6b6fa64"/>
    <w:basedOn w:val="760"/>
    <w:uiPriority w:val="39"/>
    <w:unhideWhenUsed/>
    <w:pPr>
      <w:ind w:left="1701" w:right="0" w:firstLine="0"/>
      <w:spacing w:after="57"/>
    </w:pPr>
  </w:style>
  <w:style w:type="paragraph" w:styleId="758">
    <w:name w:val="toc 8 45d67a2dc75b59cdb6470000d6b6fa64"/>
    <w:basedOn w:val="760"/>
    <w:uiPriority w:val="39"/>
    <w:unhideWhenUsed/>
    <w:pPr>
      <w:ind w:left="1984" w:right="0" w:firstLine="0"/>
      <w:spacing w:after="57"/>
    </w:pPr>
  </w:style>
  <w:style w:type="paragraph" w:styleId="759">
    <w:name w:val="toc 9 45d67a2dc75b59cdb6470000d6b6fa64"/>
    <w:basedOn w:val="760"/>
    <w:uiPriority w:val="39"/>
    <w:unhideWhenUsed/>
    <w:pPr>
      <w:ind w:left="2268" w:right="0" w:firstLine="0"/>
      <w:spacing w:after="57"/>
    </w:pPr>
  </w:style>
  <w:style w:type="paragraph" w:styleId="760">
    <w:name w:val="Normal 45d67a2dc75b59cdb6470000d6b6fa64"/>
    <w:pPr>
      <w:widowControl w:val="off"/>
    </w:pPr>
    <w:rPr>
      <w:rFonts w:ascii="Liberation Serif" w:hAnsi="Liberation Serif" w:cs="Mangal" w:eastAsia="SimSun"/>
      <w:color w:val="auto"/>
      <w:sz w:val="24"/>
      <w:szCs w:val="24"/>
      <w:lang w:val="it-IT" w:bidi="hi-IN" w:eastAsia="zh-CN"/>
    </w:rPr>
  </w:style>
  <w:style w:type="character" w:styleId="761">
    <w:name w:val="Default Paragraph Font 45d67a2dc75b59cdb6470000d6b6fa64"/>
    <w:uiPriority w:val="1"/>
    <w:semiHidden/>
    <w:unhideWhenUsed/>
  </w:style>
  <w:style w:type="numbering" w:styleId="762">
    <w:name w:val="No List 45d67a2dc75b59cdb6470000d6b6fa64"/>
    <w:uiPriority w:val="99"/>
    <w:semiHidden/>
    <w:unhideWhenUsed/>
  </w:style>
  <w:style w:type="table" w:styleId="763">
    <w:name w:val="Normal Table 45d67a2dc75b59cdb6470000d6b6fa64"/>
    <w:uiPriority w:val="99"/>
    <w:semiHidden/>
    <w:unhideWhenUsed/>
    <w:tblPr/>
  </w:style>
  <w:style w:type="character" w:styleId="764">
    <w:name w:val="Hyperlink 602fb204e12d0db6a5df74a4469c855c"/>
    <w:uiPriority w:val="99"/>
    <w:unhideWhenUsed/>
    <w:rPr>
      <w:color w:val="0000FF" w:themeColor="hyperlink"/>
      <w:u w:val="single"/>
    </w:rPr>
  </w:style>
  <w:style w:type="paragraph" w:styleId="765">
    <w:name w:val="toc 1 602fb204e12d0db6a5df74a4469c855c"/>
    <w:basedOn w:val="774"/>
    <w:uiPriority w:val="39"/>
    <w:unhideWhenUsed/>
    <w:pPr>
      <w:ind w:left="0" w:right="0" w:firstLine="0"/>
      <w:spacing w:after="57"/>
    </w:pPr>
  </w:style>
  <w:style w:type="paragraph" w:styleId="766">
    <w:name w:val="toc 2 602fb204e12d0db6a5df74a4469c855c"/>
    <w:basedOn w:val="774"/>
    <w:uiPriority w:val="39"/>
    <w:unhideWhenUsed/>
    <w:pPr>
      <w:ind w:left="283" w:right="0" w:firstLine="0"/>
      <w:spacing w:after="57"/>
    </w:pPr>
  </w:style>
  <w:style w:type="paragraph" w:styleId="767">
    <w:name w:val="toc 3 602fb204e12d0db6a5df74a4469c855c"/>
    <w:basedOn w:val="774"/>
    <w:uiPriority w:val="39"/>
    <w:unhideWhenUsed/>
    <w:pPr>
      <w:ind w:left="567" w:right="0" w:firstLine="0"/>
      <w:spacing w:after="57"/>
    </w:pPr>
  </w:style>
  <w:style w:type="paragraph" w:styleId="768">
    <w:name w:val="toc 4 602fb204e12d0db6a5df74a4469c855c"/>
    <w:basedOn w:val="774"/>
    <w:uiPriority w:val="39"/>
    <w:unhideWhenUsed/>
    <w:pPr>
      <w:ind w:left="850" w:right="0" w:firstLine="0"/>
      <w:spacing w:after="57"/>
    </w:pPr>
  </w:style>
  <w:style w:type="paragraph" w:styleId="769">
    <w:name w:val="toc 5 602fb204e12d0db6a5df74a4469c855c"/>
    <w:basedOn w:val="774"/>
    <w:uiPriority w:val="39"/>
    <w:unhideWhenUsed/>
    <w:pPr>
      <w:ind w:left="1134" w:right="0" w:firstLine="0"/>
      <w:spacing w:after="57"/>
    </w:pPr>
  </w:style>
  <w:style w:type="paragraph" w:styleId="770">
    <w:name w:val="toc 6 602fb204e12d0db6a5df74a4469c855c"/>
    <w:basedOn w:val="774"/>
    <w:uiPriority w:val="39"/>
    <w:unhideWhenUsed/>
    <w:pPr>
      <w:ind w:left="1417" w:right="0" w:firstLine="0"/>
      <w:spacing w:after="57"/>
    </w:pPr>
  </w:style>
  <w:style w:type="paragraph" w:styleId="771">
    <w:name w:val="toc 7 602fb204e12d0db6a5df74a4469c855c"/>
    <w:basedOn w:val="774"/>
    <w:uiPriority w:val="39"/>
    <w:unhideWhenUsed/>
    <w:pPr>
      <w:ind w:left="1701" w:right="0" w:firstLine="0"/>
      <w:spacing w:after="57"/>
    </w:pPr>
  </w:style>
  <w:style w:type="paragraph" w:styleId="772">
    <w:name w:val="toc 8 602fb204e12d0db6a5df74a4469c855c"/>
    <w:basedOn w:val="774"/>
    <w:uiPriority w:val="39"/>
    <w:unhideWhenUsed/>
    <w:pPr>
      <w:ind w:left="1984" w:right="0" w:firstLine="0"/>
      <w:spacing w:after="57"/>
    </w:pPr>
  </w:style>
  <w:style w:type="paragraph" w:styleId="773">
    <w:name w:val="toc 9 602fb204e12d0db6a5df74a4469c855c"/>
    <w:basedOn w:val="774"/>
    <w:uiPriority w:val="39"/>
    <w:unhideWhenUsed/>
    <w:pPr>
      <w:ind w:left="2268" w:right="0" w:firstLine="0"/>
      <w:spacing w:after="57"/>
    </w:pPr>
  </w:style>
  <w:style w:type="paragraph" w:styleId="774">
    <w:name w:val="Normal 602fb204e12d0db6a5df74a4469c855c"/>
    <w:pPr>
      <w:widowControl w:val="off"/>
    </w:pPr>
    <w:rPr>
      <w:rFonts w:ascii="Liberation Serif" w:hAnsi="Liberation Serif" w:cs="Mangal" w:eastAsia="SimSun"/>
      <w:color w:val="auto"/>
      <w:sz w:val="24"/>
      <w:szCs w:val="24"/>
      <w:lang w:val="it-IT" w:bidi="hi-IN" w:eastAsia="zh-CN"/>
    </w:rPr>
  </w:style>
  <w:style w:type="character" w:styleId="775">
    <w:name w:val="Default Paragraph Font 602fb204e12d0db6a5df74a4469c855c"/>
    <w:uiPriority w:val="1"/>
    <w:semiHidden/>
    <w:unhideWhenUsed/>
  </w:style>
  <w:style w:type="numbering" w:styleId="776">
    <w:name w:val="No List 602fb204e12d0db6a5df74a4469c855c"/>
    <w:uiPriority w:val="99"/>
    <w:semiHidden/>
    <w:unhideWhenUsed/>
  </w:style>
  <w:style w:type="table" w:styleId="777">
    <w:name w:val="Normal Table 602fb204e12d0db6a5df74a4469c855c"/>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ONLYOFFICE/7.1.1.23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it-IT</dc:language>
  <cp:lastModifiedBy>s.burghiani</cp:lastModifiedBy>
  <cp:revision>14</cp:revision>
  <dcterms:created xsi:type="dcterms:W3CDTF">2016-01-21T15:36:37Z</dcterms:created>
  <dcterms:modified xsi:type="dcterms:W3CDTF">2026-07-24T10:21:13Z</dcterms:modified>
</cp:coreProperties>
</file>