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Tahoma" w:hAnsi="Tahoma" w:cs="Tahoma" w:eastAsia="Times New Roman"/>
          <w:lang w:eastAsia="it-IT"/>
        </w:rPr>
      </w:pPr>
      <w:r>
        <w:rPr>
          <w:rFonts w:ascii="Tahoma" w:hAnsi="Tahoma" w:cs="Tahoma" w:eastAsia="Times New Roman"/>
          <w:b/>
          <w:lang w:eastAsia="it-IT"/>
        </w:rPr>
      </w:r>
      <w:r>
        <w:rPr>
          <w:rFonts w:ascii="Tahoma" w:hAnsi="Tahoma" w:cs="Tahoma" w:eastAsia="Times New Roman"/>
          <w:lang w:eastAsia="it-IT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PROPOSTA DI DELIBERAZIONE</w:t>
      </w:r>
      <w:r>
        <w:rPr>
          <w:rFonts w:ascii="Arial" w:hAnsi="Arial" w:cs="Arial" w:eastAsia="Arial"/>
          <w:sz w:val="24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  <w:highlight w:val="none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DEL CONSIGLIO COMUNALE</w:t>
      </w:r>
      <w:r>
        <w:rPr>
          <w:rFonts w:ascii="Arial" w:hAnsi="Arial" w:cs="Arial" w:eastAsia="Arial"/>
          <w:sz w:val="24"/>
          <w:highlight w:val="none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  <w:highlight w:val="none"/>
        </w:rPr>
      </w:pPr>
      <w:r>
        <w:rPr>
          <w:rFonts w:ascii="Arial" w:hAnsi="Arial" w:cs="Arial" w:eastAsia="Arial"/>
          <w:sz w:val="24"/>
          <w:highlight w:val="none"/>
        </w:rPr>
      </w:r>
      <w:r>
        <w:rPr>
          <w:rFonts w:ascii="Arial" w:hAnsi="Arial" w:cs="Arial" w:eastAsia="Arial"/>
          <w:sz w:val="24"/>
          <w:highlight w:val="none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highlight w:val="none"/>
          <w:lang w:eastAsia="it-IT"/>
        </w:rPr>
        <w:t xml:space="preserve">n. </w:t>
      </w:r>
      <w:r>
        <w:rPr>
          <w:rFonts w:ascii="Arial" w:hAnsi="Arial" w:cs="Arial" w:eastAsia="Arial"/>
          <w:b/>
          <w:sz w:val="24"/>
          <w:lang w:eastAsia="it-IT"/>
        </w:rPr>
        <w:t xml:space="preserve">931 del </w:t>
      </w:r>
      <w:r>
        <w:rPr>
          <w:rFonts w:ascii="Arial" w:hAnsi="Arial" w:cs="Arial" w:eastAsia="Arial"/>
          <w:b/>
          <w:sz w:val="24"/>
          <w:lang w:eastAsia="it-IT"/>
        </w:rPr>
        <w:t xml:space="preserve">05/08/2026</w:t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szCs w:val="1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szCs w:val="1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jc w:val="both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OGGETTO:</w:t>
      </w:r>
      <w:r>
        <w:rPr>
          <w:rFonts w:ascii="Arial" w:hAnsi="Arial" w:cs="Arial" w:eastAsia="Arial"/>
          <w:sz w:val="24"/>
        </w:rPr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SURROGA DEL CONSIGLIERE COMUNALE DIMISSIONARIO GIANCARLO MENGONI</w:t>
      </w:r>
      <w:r>
        <w:rPr>
          <w:rFonts w:ascii="Arial" w:hAnsi="Arial" w:cs="Arial" w:eastAsia="Arial"/>
          <w:sz w:val="24"/>
        </w:rPr>
      </w:r>
      <w:r/>
    </w:p>
    <w:p>
      <w:pPr>
        <w:jc w:val="both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  <w:pBdr>
          <w:bottom w:val="single" w:color="000000" w:sz="6" w:space="0"/>
        </w:pBdr>
      </w:pPr>
      <w:r>
        <w:rPr>
          <w:rFonts w:ascii="Arial" w:hAnsi="Arial" w:cs="Arial" w:eastAsia="Arial"/>
          <w:sz w:val="2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pStyle w:val="760"/>
      </w:pPr>
      <w:r/>
      <w:r/>
    </w:p>
    <w:p>
      <w:pPr>
        <w:jc w:val="center"/>
        <w:rPr>
          <w:rFonts w:ascii="Arial" w:hAnsi="Arial" w:cs="Arial" w:eastAsia="Arial"/>
          <w:b/>
          <w:sz w:val="24"/>
          <w:highlight w:val="none"/>
        </w:rP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  <w:r/>
    </w:p>
    <w:p>
      <w:pPr>
        <w:pStyle w:val="746"/>
        <w:jc w:val="center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sz w:val="24"/>
        </w:rPr>
        <w:t xml:space="preserve">IL CONSIGLIO COMUNALE</w:t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p>
      <w:pPr>
        <w:jc w:val="left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PREMESSO</w:t>
      </w:r>
      <w:r>
        <w:rPr>
          <w:rFonts w:ascii="Liberation Serif" w:hAnsi="Liberation Serif" w:cs="Liberation Serif" w:eastAsia="Liberation Serif"/>
          <w:color w:val="000000"/>
          <w:sz w:val="24"/>
        </w:rPr>
        <w:t xml:space="preserve"> che il Sig. Giancarlo Mengoni, con nota</w:t>
      </w:r>
      <w:r>
        <w:rPr>
          <w:rFonts w:ascii="Liberation Serif" w:hAnsi="Liberation Serif" w:cs="Liberation Serif" w:eastAsia="Liberation Serif"/>
          <w:color w:val="000000"/>
          <w:sz w:val="24"/>
          <w:highlight w:val="white"/>
        </w:rPr>
        <w:t xml:space="preserve"> del 5 Agosto 2026  acquisita al prot. n. 26993, ha rassegnato le proprie dimissioni dalla carica di Consigliere Comunale;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DATO ATTO: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numPr>
          <w:ilvl w:val="0"/>
          <w:numId w:val="1"/>
        </w:numPr>
        <w:jc w:val="both"/>
        <w:spacing w:before="0" w:after="0"/>
        <w:tabs>
          <w:tab w:val="left" w:pos="72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che a norma del comma 8 dell’art. 38 del d.lgs. n. 267/2000 le dimissioni presentate personalmente ed immediatamente assunte al protocollo del Comune sono irrevocabili, non necessitano di presa d’atto e sono immediatamente efficaci;</w:t>
      </w:r>
      <w:r/>
    </w:p>
    <w:p>
      <w:pPr>
        <w:numPr>
          <w:ilvl w:val="0"/>
          <w:numId w:val="1"/>
        </w:numPr>
        <w:jc w:val="both"/>
        <w:spacing w:before="0" w:after="0"/>
        <w:tabs>
          <w:tab w:val="left" w:pos="72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che il Consiglio, entro e non oltre 10 giorni, deve procedere alla surroga del Consigliere dimissionario;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VISTA</w:t>
      </w:r>
      <w:r>
        <w:rPr>
          <w:rFonts w:ascii="Liberation Serif" w:hAnsi="Liberation Serif" w:cs="Liberation Serif" w:eastAsia="Liberation Serif"/>
          <w:color w:val="000000"/>
          <w:sz w:val="24"/>
        </w:rPr>
        <w:t xml:space="preserve"> la sentenza del 17/02/2006 n.640, con la quale il Consiglio di Stato, Sez.V ha osservato che il predetto termine di 10 giorni ha carattere non perentorio, ma acceleratorio;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CONSIDERATO</w:t>
      </w:r>
      <w:r>
        <w:rPr>
          <w:rFonts w:ascii="Liberation Serif" w:hAnsi="Liberation Serif" w:cs="Liberation Serif" w:eastAsia="Liberation Serif"/>
          <w:color w:val="000000"/>
          <w:sz w:val="24"/>
        </w:rPr>
        <w:t xml:space="preserve"> che, secondo quanto dispone il primo comma dell’art. 45 del d.lgs. n. 267/2000, il seggio che durante il quinquennio rimanga vacante è attribuito al candidato che, nella medesima lista, segua immediatamente l’ultimo eletto;</w:t>
      </w:r>
      <w:r/>
    </w:p>
    <w:p>
      <w:pPr>
        <w:ind w:left="360" w:right="0" w:firstLine="348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VISTO</w:t>
      </w:r>
      <w:r>
        <w:rPr>
          <w:rFonts w:ascii="Liberation Serif" w:hAnsi="Liberation Serif" w:cs="Liberation Serif" w:eastAsia="Liberation Serif"/>
          <w:color w:val="000000"/>
          <w:sz w:val="24"/>
        </w:rPr>
        <w:t xml:space="preserve"> che nella lista n. 9 – “Energia Nuova” – cui appartiene il consigliere dimissionario, la persona che segue immediatamente l’ultimo eletto è la Sig.ra Silvia Mengarelli,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la cui cifra individuale è stata di 886; 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RISCONTRATA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la insussistenza di cause di ineleggibilità e di incompatibilità nei confronti della stessa;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ACQUISITO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il parere favorevole di regolarità tecnica, ai sensi dell’art. 49 del D. Lgs. n. 267/2000, allegato al presente atto, da parte della Dirigente Dipartimento Affari Generali;</w:t>
      </w:r>
      <w:r/>
    </w:p>
    <w:p>
      <w:pPr>
        <w:ind w:left="0" w:right="0" w:firstLine="708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DATO ATTO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che ai sensi dell’art. 49 citato non è richiesto il parere di regolarità contabile in quanto l’atto non comporta effetti diretti o indiretti sulla situazione economico-finanziaria o sul patrimonio dell’ente;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Esperita la votazione in modalità elettronica con il seguente esito: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Presenti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Votanti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Favorevoli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Contrari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Astenuti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D E L I B E R A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cs="Courier New" w:eastAsia="Courier New"/>
          <w:color w:val="000000"/>
          <w:sz w:val="20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1) di surrogare il dimissionario Consigliere Comunale Giancarlo Mengoni con la Sig.ra Silvia Mengarelli, </w:t>
      </w:r>
      <w:r>
        <w:rPr>
          <w:rFonts w:ascii="Liberation Serif" w:hAnsi="Liberation Serif" w:cs="Liberation Serif" w:eastAsia="Liberation Serif"/>
          <w:color w:val="000000"/>
          <w:sz w:val="24"/>
          <w:highlight w:val="white"/>
        </w:rPr>
        <w:t xml:space="preserve">nata ad Osimo (AN) il 10/11/1978 e residente in Osimo, </w:t>
      </w:r>
      <w:r>
        <w:rPr>
          <w:rFonts w:ascii="Liberation Serif" w:hAnsi="Liberation Serif" w:cs="Liberation Serif" w:eastAsia="Liberation Serif"/>
          <w:color w:val="000000"/>
          <w:sz w:val="24"/>
        </w:rPr>
        <w:t xml:space="preserve">appartenente alla Lista n. 9 – “Energia Nuova” – prima dei non eletti con la cifra individuale di n. 886;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2) di dare atto della insussistenza di cause di ineleggibilità e di incompatibilità e pertanto convalidare l’elezione;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cs="Courier New" w:eastAsia="Courier New"/>
          <w:color w:val="000000"/>
          <w:sz w:val="20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3) di dare atto che a mente dell’art. 38, comma 4, del d.lgs. n. 267/2000, la Consigliera Silvia Mengarelli entra immediatamente in carica.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***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La Presidente del Consiglio Comunale pone quindi a votazione la proposta di rendere il presente atto immediatamente eseguibile, al fine di dare immediata efficacia al procedimento di composizione del civico consesso.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Pertanto, 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IL CONSIGLIO COMUNALE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Udita la proposta,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Con la seguente votazione esperita in modalità elettronica: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Presenti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Votanti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Favorevoli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Contrari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Astenuti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DELIBERA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4) di rendere il presente atto immediatamente eseguibile ai sensi art. 134 D.Lgs. N.267/2000.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***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La seduta prosegue con la trattazione del successivo punto all’ordine del giorno.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 </w:t>
      </w:r>
      <w:r/>
    </w:p>
    <w:p>
      <w:pPr>
        <w:jc w:val="center"/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  <w:r/>
    </w:p>
    <w:p>
      <w:pPr>
        <w:jc w:val="center"/>
      </w:pPr>
      <w:r>
        <w:rPr>
          <w:rFonts w:ascii="Arial" w:hAnsi="Arial" w:cs="Arial" w:eastAsia="Arial"/>
          <w:b/>
          <w:sz w:val="24"/>
          <w:highlight w:val="none"/>
        </w:rPr>
        <w:t xml:space="preserve">***</w:t>
      </w:r>
      <w:r>
        <w:rPr>
          <w:rFonts w:ascii="Arial" w:hAnsi="Arial" w:cs="Arial" w:eastAsia="Arial"/>
          <w:b/>
          <w:sz w:val="24"/>
          <w:highlight w:val="none"/>
        </w:rPr>
      </w:r>
      <w:r/>
    </w:p>
    <w:p>
      <w:pPr>
        <w:jc w:val="both"/>
        <w:rPr>
          <w:bCs/>
          <w:i/>
          <w:sz w:val="20"/>
          <w:szCs w:val="20"/>
        </w:rPr>
      </w:pP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A</w:t>
      </w: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i sensi dell’art.35 del Regolamento del Consiglio Comunale, le sedute pubbliche del Consiglio Comunale vengono riprese e trasmesse via web e sono integralmente registrate su supporto digitale. Dette registrazioni sono consultabili attraverso il sito Intern</w:t>
      </w: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et del Comune.</w:t>
      </w:r>
      <w:r>
        <w:rPr>
          <w:bCs/>
          <w:i/>
          <w:sz w:val="20"/>
          <w:szCs w:val="20"/>
        </w:rPr>
      </w:r>
      <w:r/>
    </w:p>
    <w:p>
      <w:pPr>
        <w:jc w:val="center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sz w:val="24"/>
          <w:highlight w:val="none"/>
        </w:rPr>
        <w:t xml:space="preserve">***</w:t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Arial">
    <w:panose1 w:val="020B0604020202020204"/>
  </w:font>
  <w:font w:name="SimSun">
    <w:panose1 w:val="02020603020101020101"/>
  </w:font>
  <w:font w:name="Courier New">
    <w:panose1 w:val="02070309020205020404"/>
  </w:font>
  <w:font w:name="Mangal">
    <w:panose1 w:val="02020603050405020304"/>
  </w:font>
  <w:font w:name="Liberation Serif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center"/>
      <w:spacing w:before="0"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Arial" w:hAnsi="Arial" w:cs="Arial" w:eastAsia="Arial"/>
        <w:color w:val="000000"/>
        <w:sz w:val="18"/>
        <w:highlight w:val="none"/>
      </w:rPr>
    </w:r>
    <w:r/>
  </w:p>
  <w:p>
    <w:pPr>
      <w:ind w:left="0" w:right="0" w:firstLine="0"/>
      <w:jc w:val="left"/>
      <w:spacing w:before="0" w:after="0"/>
      <w:rPr>
        <w:rFonts w:ascii="Arial" w:hAnsi="Arial" w:cs="Arial" w:eastAsia="Arial"/>
        <w:color w:val="000000"/>
        <w:highlight w:val="none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Arial" w:hAnsi="Arial" w:cs="Arial" w:eastAsia="Arial"/>
        <w:color w:val="000000"/>
        <w:sz w:val="18"/>
      </w:rPr>
      <w:t xml:space="preserve">Proposta di </w:t>
    </w:r>
    <w:r>
      <w:rPr>
        <w:rFonts w:ascii="Arial" w:hAnsi="Arial" w:cs="Arial" w:eastAsia="Arial"/>
        <w:color w:val="000000"/>
        <w:sz w:val="18"/>
      </w:rPr>
      <w:t xml:space="preserve">Delibera di Consiglio</w:t>
    </w:r>
    <w:r>
      <w:rPr>
        <w:rFonts w:ascii="Arial" w:hAnsi="Arial" w:cs="Arial" w:eastAsia="Arial"/>
        <w:color w:val="000000"/>
        <w:sz w:val="18"/>
      </w:rPr>
      <w:t xml:space="preserve"> n. 931 del 05/08/2026</w:t>
    </w:r>
    <w:r>
      <w:rPr>
        <w:rFonts w:ascii="Arial" w:hAnsi="Arial" w:cs="Arial" w:eastAsia="Arial"/>
        <w:color w:val="000000"/>
        <w:highlight w:val="none"/>
      </w:rPr>
    </w:r>
    <w:r/>
  </w:p>
  <w:p>
    <w:pPr>
      <w:pStyle w:val="733"/>
      <w:jc w:val="right"/>
      <w:rPr>
        <w:rFonts w:ascii="Arial" w:hAnsi="Arial" w:cs="Arial" w:eastAsia="Arial"/>
        <w:highlight w:val="none"/>
      </w:rPr>
    </w:pPr>
    <w:r>
      <w:rPr>
        <w:rFonts w:ascii="Arial" w:hAnsi="Arial" w:cs="Arial" w:eastAsia="Arial"/>
        <w:sz w:val="18"/>
      </w:rPr>
      <w:t xml:space="preserve">Pag. </w:t>
    </w:r>
    <w:fldSimple w:instr="PAGE \* MERGEFORMAT">
      <w:r>
        <w:rPr>
          <w:rFonts w:ascii="Arial" w:hAnsi="Arial" w:cs="Arial" w:eastAsia="Arial"/>
          <w:sz w:val="18"/>
        </w:rPr>
        <w:t xml:space="preserve">1</w:t>
      </w:r>
    </w:fldSimple>
    <w:r>
      <w:rPr>
        <w:rFonts w:ascii="Arial" w:hAnsi="Arial" w:cs="Arial" w:eastAsia="Arial"/>
        <w:sz w:val="18"/>
      </w:rPr>
    </w:r>
    <w:r>
      <w:rPr>
        <w:rFonts w:ascii="Arial" w:hAnsi="Arial" w:cs="Arial" w:eastAsia="Arial"/>
        <w:highlight w:val="none"/>
      </w:rPr>
    </w:r>
    <w:r/>
  </w:p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</w:pPr>
    <w:r/>
    <w:r/>
  </w:p>
  <w:p>
    <w:r>
      <w:rPr>
        <w:rFonts w:ascii="Times New Roman" w:hAnsi="Times New Roman" w:cs="Times New Roman" w:eastAsia="Times New Roman"/>
        <w:lang w:bidi="ar-SA"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-144145</wp:posOffset>
              </wp:positionV>
              <wp:extent cx="1444625" cy="1776730"/>
              <wp:effectExtent l="0" t="0" r="0" b="0"/>
              <wp:wrapNone/>
              <wp:docPr id="1" name="Immagine 1" descr="logo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6180020" name="Immagine 1" descr="logo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444624" cy="177672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-17.8pt;mso-position-horizontal:absolute;mso-position-vertical-relative:text;margin-top:-11.3pt;mso-position-vertical:absolute;width:113.8pt;height:139.9pt;rotation:0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774"/>
    </w:pPr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 w:cs="Wingdings" w:eastAsia="Wingdings" w:hint="default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Wingdings" w:hAnsi="Wingdings" w:cs="Wingdings" w:eastAsia="Wingdings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 w:cs="Wingdings" w:eastAsia="Wingdings" w:hint="default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Wingdings" w:hAnsi="Wingdings" w:cs="Wingdings" w:eastAsia="Wingdings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cs="Mangal" w:eastAsia="SimSun" w:hint="default"/>
        <w:sz w:val="24"/>
        <w:szCs w:val="24"/>
        <w:lang w:val="it-IT" w:bidi="hi-IN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">
    <w:name w:val="Normal"/>
    <w:qFormat/>
  </w:style>
  <w:style w:type="character" w:styleId="9">
    <w:name w:val="Default Paragraph Font"/>
    <w:uiPriority w:val="1"/>
    <w:semiHidden/>
    <w:unhideWhenUsed/>
  </w:style>
  <w:style w:type="numbering" w:styleId="10">
    <w:name w:val="No List"/>
    <w:uiPriority w:val="99"/>
    <w:semiHidden/>
    <w:unhideWhenUsed/>
  </w:style>
  <w:style w:type="paragraph" w:styleId="11">
    <w:name w:val="Heading 1"/>
    <w:basedOn w:val="8"/>
    <w:next w:val="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uiPriority w:val="34"/>
    <w:qFormat/>
    <w:pPr>
      <w:contextualSpacing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8"/>
    <w:next w:val="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"/>
    <w:next w:val="8"/>
    <w:uiPriority w:val="99"/>
    <w:unhideWhenUsed/>
    <w:pPr>
      <w:spacing w:after="0" w:afterAutospacing="0"/>
    </w:pPr>
  </w:style>
  <w:style w:type="paragraph" w:styleId="731">
    <w:name w:val="Header 95a7726609c904fb6cf9dfd26e2d38cb"/>
    <w:basedOn w:val="746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Header Char 95a7726609c904fb6cf9dfd26e2d38cb"/>
    <w:link w:val="731"/>
    <w:uiPriority w:val="99"/>
  </w:style>
  <w:style w:type="paragraph" w:styleId="733">
    <w:name w:val="Footer 95a7726609c904fb6cf9dfd26e2d38cb"/>
    <w:basedOn w:val="746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Footer Char 95a7726609c904fb6cf9dfd26e2d38cb"/>
    <w:link w:val="733"/>
    <w:uiPriority w:val="99"/>
  </w:style>
  <w:style w:type="character" w:styleId="735">
    <w:name w:val="Caption Char 95a7726609c904fb6cf9dfd26e2d38cb"/>
    <w:link w:val="733"/>
    <w:uiPriority w:val="99"/>
  </w:style>
  <w:style w:type="character" w:styleId="736">
    <w:name w:val="Hyperlink 95a7726609c904fb6cf9dfd26e2d38cb"/>
    <w:uiPriority w:val="99"/>
    <w:unhideWhenUsed/>
    <w:rPr>
      <w:color w:val="0000FF" w:themeColor="hyperlink"/>
      <w:u w:val="single"/>
    </w:rPr>
  </w:style>
  <w:style w:type="paragraph" w:styleId="737">
    <w:name w:val="toc 1 95a7726609c904fb6cf9dfd26e2d38cb"/>
    <w:basedOn w:val="746"/>
    <w:uiPriority w:val="39"/>
    <w:unhideWhenUsed/>
    <w:pPr>
      <w:ind w:left="0" w:right="0" w:firstLine="0"/>
      <w:spacing w:after="57"/>
    </w:pPr>
  </w:style>
  <w:style w:type="paragraph" w:styleId="738">
    <w:name w:val="toc 2 95a7726609c904fb6cf9dfd26e2d38cb"/>
    <w:basedOn w:val="746"/>
    <w:uiPriority w:val="39"/>
    <w:unhideWhenUsed/>
    <w:pPr>
      <w:ind w:left="283" w:right="0" w:firstLine="0"/>
      <w:spacing w:after="57"/>
    </w:pPr>
  </w:style>
  <w:style w:type="paragraph" w:styleId="739">
    <w:name w:val="toc 3 95a7726609c904fb6cf9dfd26e2d38cb"/>
    <w:basedOn w:val="746"/>
    <w:uiPriority w:val="39"/>
    <w:unhideWhenUsed/>
    <w:pPr>
      <w:ind w:left="567" w:right="0" w:firstLine="0"/>
      <w:spacing w:after="57"/>
    </w:pPr>
  </w:style>
  <w:style w:type="paragraph" w:styleId="740">
    <w:name w:val="toc 4 95a7726609c904fb6cf9dfd26e2d38cb"/>
    <w:basedOn w:val="746"/>
    <w:uiPriority w:val="39"/>
    <w:unhideWhenUsed/>
    <w:pPr>
      <w:ind w:left="850" w:right="0" w:firstLine="0"/>
      <w:spacing w:after="57"/>
    </w:pPr>
  </w:style>
  <w:style w:type="paragraph" w:styleId="741">
    <w:name w:val="toc 5 95a7726609c904fb6cf9dfd26e2d38cb"/>
    <w:basedOn w:val="746"/>
    <w:uiPriority w:val="39"/>
    <w:unhideWhenUsed/>
    <w:pPr>
      <w:ind w:left="1134" w:right="0" w:firstLine="0"/>
      <w:spacing w:after="57"/>
    </w:pPr>
  </w:style>
  <w:style w:type="paragraph" w:styleId="742">
    <w:name w:val="toc 6 95a7726609c904fb6cf9dfd26e2d38cb"/>
    <w:basedOn w:val="746"/>
    <w:uiPriority w:val="39"/>
    <w:unhideWhenUsed/>
    <w:pPr>
      <w:ind w:left="1417" w:right="0" w:firstLine="0"/>
      <w:spacing w:after="57"/>
    </w:pPr>
  </w:style>
  <w:style w:type="paragraph" w:styleId="743">
    <w:name w:val="toc 7 95a7726609c904fb6cf9dfd26e2d38cb"/>
    <w:basedOn w:val="746"/>
    <w:uiPriority w:val="39"/>
    <w:unhideWhenUsed/>
    <w:pPr>
      <w:ind w:left="1701" w:right="0" w:firstLine="0"/>
      <w:spacing w:after="57"/>
    </w:pPr>
  </w:style>
  <w:style w:type="paragraph" w:styleId="744">
    <w:name w:val="toc 8 95a7726609c904fb6cf9dfd26e2d38cb"/>
    <w:basedOn w:val="746"/>
    <w:uiPriority w:val="39"/>
    <w:unhideWhenUsed/>
    <w:pPr>
      <w:ind w:left="1984" w:right="0" w:firstLine="0"/>
      <w:spacing w:after="57"/>
    </w:pPr>
  </w:style>
  <w:style w:type="paragraph" w:styleId="745">
    <w:name w:val="toc 9 95a7726609c904fb6cf9dfd26e2d38cb"/>
    <w:basedOn w:val="746"/>
    <w:uiPriority w:val="39"/>
    <w:unhideWhenUsed/>
    <w:pPr>
      <w:ind w:left="2268" w:right="0" w:firstLine="0"/>
      <w:spacing w:after="57"/>
    </w:pPr>
  </w:style>
  <w:style w:type="paragraph" w:styleId="746" w:default="1">
    <w:name w:val="Normal 95a7726609c904fb6cf9dfd26e2d38cb"/>
    <w:qFormat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47" w:default="1">
    <w:name w:val="Default Paragraph Font 95a7726609c904fb6cf9dfd26e2d38cb"/>
    <w:uiPriority w:val="1"/>
    <w:semiHidden/>
    <w:unhideWhenUsed/>
  </w:style>
  <w:style w:type="numbering" w:styleId="748" w:default="1">
    <w:name w:val="No List 95a7726609c904fb6cf9dfd26e2d38cb"/>
    <w:uiPriority w:val="99"/>
    <w:semiHidden/>
    <w:unhideWhenUsed/>
  </w:style>
  <w:style w:type="table" w:styleId="749" w:default="1">
    <w:name w:val="Normal Table 95a7726609c904fb6cf9dfd26e2d38cb"/>
    <w:uiPriority w:val="99"/>
    <w:semiHidden/>
    <w:unhideWhenUsed/>
    <w:tblPr/>
  </w:style>
  <w:style w:type="character" w:styleId="750">
    <w:name w:val="Hyperlink 11beb3b9869744427bb4c042929ead49"/>
    <w:uiPriority w:val="99"/>
    <w:unhideWhenUsed/>
    <w:rPr>
      <w:color w:val="0000FF" w:themeColor="hyperlink"/>
      <w:u w:val="single"/>
    </w:rPr>
  </w:style>
  <w:style w:type="paragraph" w:styleId="751">
    <w:name w:val="toc 1 11beb3b9869744427bb4c042929ead49"/>
    <w:basedOn w:val="760"/>
    <w:uiPriority w:val="39"/>
    <w:unhideWhenUsed/>
    <w:pPr>
      <w:ind w:left="0" w:right="0" w:firstLine="0"/>
      <w:spacing w:after="57"/>
    </w:pPr>
  </w:style>
  <w:style w:type="paragraph" w:styleId="752">
    <w:name w:val="toc 2 11beb3b9869744427bb4c042929ead49"/>
    <w:basedOn w:val="760"/>
    <w:uiPriority w:val="39"/>
    <w:unhideWhenUsed/>
    <w:pPr>
      <w:ind w:left="283" w:right="0" w:firstLine="0"/>
      <w:spacing w:after="57"/>
    </w:pPr>
  </w:style>
  <w:style w:type="paragraph" w:styleId="753">
    <w:name w:val="toc 3 11beb3b9869744427bb4c042929ead49"/>
    <w:basedOn w:val="760"/>
    <w:uiPriority w:val="39"/>
    <w:unhideWhenUsed/>
    <w:pPr>
      <w:ind w:left="567" w:right="0" w:firstLine="0"/>
      <w:spacing w:after="57"/>
    </w:pPr>
  </w:style>
  <w:style w:type="paragraph" w:styleId="754">
    <w:name w:val="toc 4 11beb3b9869744427bb4c042929ead49"/>
    <w:basedOn w:val="760"/>
    <w:uiPriority w:val="39"/>
    <w:unhideWhenUsed/>
    <w:pPr>
      <w:ind w:left="850" w:right="0" w:firstLine="0"/>
      <w:spacing w:after="57"/>
    </w:pPr>
  </w:style>
  <w:style w:type="paragraph" w:styleId="755">
    <w:name w:val="toc 5 11beb3b9869744427bb4c042929ead49"/>
    <w:basedOn w:val="760"/>
    <w:uiPriority w:val="39"/>
    <w:unhideWhenUsed/>
    <w:pPr>
      <w:ind w:left="1134" w:right="0" w:firstLine="0"/>
      <w:spacing w:after="57"/>
    </w:pPr>
  </w:style>
  <w:style w:type="paragraph" w:styleId="756">
    <w:name w:val="toc 6 11beb3b9869744427bb4c042929ead49"/>
    <w:basedOn w:val="760"/>
    <w:uiPriority w:val="39"/>
    <w:unhideWhenUsed/>
    <w:pPr>
      <w:ind w:left="1417" w:right="0" w:firstLine="0"/>
      <w:spacing w:after="57"/>
    </w:pPr>
  </w:style>
  <w:style w:type="paragraph" w:styleId="757">
    <w:name w:val="toc 7 11beb3b9869744427bb4c042929ead49"/>
    <w:basedOn w:val="760"/>
    <w:uiPriority w:val="39"/>
    <w:unhideWhenUsed/>
    <w:pPr>
      <w:ind w:left="1701" w:right="0" w:firstLine="0"/>
      <w:spacing w:after="57"/>
    </w:pPr>
  </w:style>
  <w:style w:type="paragraph" w:styleId="758">
    <w:name w:val="toc 8 11beb3b9869744427bb4c042929ead49"/>
    <w:basedOn w:val="760"/>
    <w:uiPriority w:val="39"/>
    <w:unhideWhenUsed/>
    <w:pPr>
      <w:ind w:left="1984" w:right="0" w:firstLine="0"/>
      <w:spacing w:after="57"/>
    </w:pPr>
  </w:style>
  <w:style w:type="paragraph" w:styleId="759">
    <w:name w:val="toc 9 11beb3b9869744427bb4c042929ead49"/>
    <w:basedOn w:val="760"/>
    <w:uiPriority w:val="39"/>
    <w:unhideWhenUsed/>
    <w:pPr>
      <w:ind w:left="2268" w:right="0" w:firstLine="0"/>
      <w:spacing w:after="57"/>
    </w:pPr>
  </w:style>
  <w:style w:type="paragraph" w:styleId="760">
    <w:name w:val="Normal 11beb3b9869744427bb4c042929ead49"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61">
    <w:name w:val="Default Paragraph Font 11beb3b9869744427bb4c042929ead49"/>
    <w:uiPriority w:val="1"/>
    <w:semiHidden/>
    <w:unhideWhenUsed/>
  </w:style>
  <w:style w:type="numbering" w:styleId="762">
    <w:name w:val="No List 11beb3b9869744427bb4c042929ead49"/>
    <w:uiPriority w:val="99"/>
    <w:semiHidden/>
    <w:unhideWhenUsed/>
  </w:style>
  <w:style w:type="table" w:styleId="763">
    <w:name w:val="Normal Table 11beb3b9869744427bb4c042929ead49"/>
    <w:uiPriority w:val="99"/>
    <w:semiHidden/>
    <w:unhideWhenUsed/>
    <w:tblPr/>
  </w:style>
  <w:style w:type="character" w:styleId="764">
    <w:name w:val="Hyperlink 6425e1ad08d4e35e8137fceea59619b2"/>
    <w:uiPriority w:val="99"/>
    <w:unhideWhenUsed/>
    <w:rPr>
      <w:color w:val="0000FF" w:themeColor="hyperlink"/>
      <w:u w:val="single"/>
    </w:rPr>
  </w:style>
  <w:style w:type="paragraph" w:styleId="765">
    <w:name w:val="toc 1 6425e1ad08d4e35e8137fceea59619b2"/>
    <w:basedOn w:val="774"/>
    <w:uiPriority w:val="39"/>
    <w:unhideWhenUsed/>
    <w:pPr>
      <w:ind w:left="0" w:right="0" w:firstLine="0"/>
      <w:spacing w:after="57"/>
    </w:pPr>
  </w:style>
  <w:style w:type="paragraph" w:styleId="766">
    <w:name w:val="toc 2 6425e1ad08d4e35e8137fceea59619b2"/>
    <w:basedOn w:val="774"/>
    <w:uiPriority w:val="39"/>
    <w:unhideWhenUsed/>
    <w:pPr>
      <w:ind w:left="283" w:right="0" w:firstLine="0"/>
      <w:spacing w:after="57"/>
    </w:pPr>
  </w:style>
  <w:style w:type="paragraph" w:styleId="767">
    <w:name w:val="toc 3 6425e1ad08d4e35e8137fceea59619b2"/>
    <w:basedOn w:val="774"/>
    <w:uiPriority w:val="39"/>
    <w:unhideWhenUsed/>
    <w:pPr>
      <w:ind w:left="567" w:right="0" w:firstLine="0"/>
      <w:spacing w:after="57"/>
    </w:pPr>
  </w:style>
  <w:style w:type="paragraph" w:styleId="768">
    <w:name w:val="toc 4 6425e1ad08d4e35e8137fceea59619b2"/>
    <w:basedOn w:val="774"/>
    <w:uiPriority w:val="39"/>
    <w:unhideWhenUsed/>
    <w:pPr>
      <w:ind w:left="850" w:right="0" w:firstLine="0"/>
      <w:spacing w:after="57"/>
    </w:pPr>
  </w:style>
  <w:style w:type="paragraph" w:styleId="769">
    <w:name w:val="toc 5 6425e1ad08d4e35e8137fceea59619b2"/>
    <w:basedOn w:val="774"/>
    <w:uiPriority w:val="39"/>
    <w:unhideWhenUsed/>
    <w:pPr>
      <w:ind w:left="1134" w:right="0" w:firstLine="0"/>
      <w:spacing w:after="57"/>
    </w:pPr>
  </w:style>
  <w:style w:type="paragraph" w:styleId="770">
    <w:name w:val="toc 6 6425e1ad08d4e35e8137fceea59619b2"/>
    <w:basedOn w:val="774"/>
    <w:uiPriority w:val="39"/>
    <w:unhideWhenUsed/>
    <w:pPr>
      <w:ind w:left="1417" w:right="0" w:firstLine="0"/>
      <w:spacing w:after="57"/>
    </w:pPr>
  </w:style>
  <w:style w:type="paragraph" w:styleId="771">
    <w:name w:val="toc 7 6425e1ad08d4e35e8137fceea59619b2"/>
    <w:basedOn w:val="774"/>
    <w:uiPriority w:val="39"/>
    <w:unhideWhenUsed/>
    <w:pPr>
      <w:ind w:left="1701" w:right="0" w:firstLine="0"/>
      <w:spacing w:after="57"/>
    </w:pPr>
  </w:style>
  <w:style w:type="paragraph" w:styleId="772">
    <w:name w:val="toc 8 6425e1ad08d4e35e8137fceea59619b2"/>
    <w:basedOn w:val="774"/>
    <w:uiPriority w:val="39"/>
    <w:unhideWhenUsed/>
    <w:pPr>
      <w:ind w:left="1984" w:right="0" w:firstLine="0"/>
      <w:spacing w:after="57"/>
    </w:pPr>
  </w:style>
  <w:style w:type="paragraph" w:styleId="773">
    <w:name w:val="toc 9 6425e1ad08d4e35e8137fceea59619b2"/>
    <w:basedOn w:val="774"/>
    <w:uiPriority w:val="39"/>
    <w:unhideWhenUsed/>
    <w:pPr>
      <w:ind w:left="2268" w:right="0" w:firstLine="0"/>
      <w:spacing w:after="57"/>
    </w:pPr>
  </w:style>
  <w:style w:type="paragraph" w:styleId="774">
    <w:name w:val="Normal 6425e1ad08d4e35e8137fceea59619b2"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75">
    <w:name w:val="Default Paragraph Font 6425e1ad08d4e35e8137fceea59619b2"/>
    <w:uiPriority w:val="1"/>
    <w:semiHidden/>
    <w:unhideWhenUsed/>
  </w:style>
  <w:style w:type="numbering" w:styleId="776">
    <w:name w:val="No List 6425e1ad08d4e35e8137fceea59619b2"/>
    <w:uiPriority w:val="99"/>
    <w:semiHidden/>
    <w:unhideWhenUsed/>
  </w:style>
  <w:style w:type="table" w:styleId="777">
    <w:name w:val="Normal Table 6425e1ad08d4e35e8137fceea59619b2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it-IT</dc:language>
  <cp:lastModifiedBy>s.burghiani</cp:lastModifiedBy>
  <cp:revision>14</cp:revision>
  <dcterms:created xsi:type="dcterms:W3CDTF">2016-01-21T15:36:37Z</dcterms:created>
  <dcterms:modified xsi:type="dcterms:W3CDTF">2026-08-07T10:27:21Z</dcterms:modified>
</cp:coreProperties>
</file>