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Tahoma" w:hAnsi="Tahoma" w:cs="Tahoma" w:eastAsia="Times New Roman"/>
          <w:lang w:eastAsia="it-IT"/>
        </w:rPr>
      </w:pPr>
      <w:r>
        <w:rPr>
          <w:rFonts w:ascii="Tahoma" w:hAnsi="Tahoma" w:cs="Tahoma" w:eastAsia="Times New Roman"/>
          <w:b/>
          <w:lang w:eastAsia="it-IT"/>
        </w:rPr>
      </w:r>
      <w:r>
        <w:rPr>
          <w:rFonts w:ascii="Tahoma" w:hAnsi="Tahoma" w:cs="Tahoma" w:eastAsia="Times New Roman"/>
          <w:lang w:eastAsia="it-IT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PROPOSTA DI DELIBERAZIONE</w:t>
      </w:r>
      <w:r>
        <w:rPr>
          <w:rFonts w:ascii="Arial" w:hAnsi="Arial" w:cs="Arial" w:eastAsia="Arial"/>
          <w:sz w:val="24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DEL CONSIGLIO COMUNALE</w:t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  <w:highlight w:val="none"/>
        </w:rPr>
      </w:pPr>
      <w:r>
        <w:rPr>
          <w:rFonts w:ascii="Arial" w:hAnsi="Arial" w:cs="Arial" w:eastAsia="Arial"/>
          <w:sz w:val="24"/>
          <w:highlight w:val="none"/>
        </w:rPr>
      </w:r>
      <w:r>
        <w:rPr>
          <w:rFonts w:ascii="Arial" w:hAnsi="Arial" w:cs="Arial" w:eastAsia="Arial"/>
          <w:sz w:val="24"/>
          <w:highlight w:val="none"/>
        </w:rPr>
      </w:r>
      <w:r/>
    </w:p>
    <w:p>
      <w:pPr>
        <w:jc w:val="center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highlight w:val="none"/>
          <w:lang w:eastAsia="it-IT"/>
        </w:rPr>
        <w:t xml:space="preserve">n. </w:t>
      </w:r>
      <w:r>
        <w:rPr>
          <w:rFonts w:ascii="Arial" w:hAnsi="Arial" w:cs="Arial" w:eastAsia="Arial"/>
          <w:b/>
          <w:sz w:val="24"/>
          <w:lang w:eastAsia="it-IT"/>
        </w:rPr>
        <w:t xml:space="preserve">1263 del </w:t>
      </w:r>
      <w:r>
        <w:rPr>
          <w:rFonts w:ascii="Arial" w:hAnsi="Arial" w:cs="Arial" w:eastAsia="Arial"/>
          <w:b/>
          <w:sz w:val="24"/>
          <w:lang w:eastAsia="it-IT"/>
        </w:rPr>
        <w:t xml:space="preserve">22/10/2026</w:t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szCs w:val="1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OGGETTO:</w:t>
      </w:r>
      <w:r>
        <w:rPr>
          <w:rFonts w:ascii="Arial" w:hAnsi="Arial" w:cs="Arial" w:eastAsia="Arial"/>
          <w:sz w:val="24"/>
        </w:rPr>
      </w:r>
      <w:r/>
    </w:p>
    <w:p>
      <w:pPr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sz w:val="24"/>
          <w:lang w:eastAsia="it-IT"/>
        </w:rPr>
        <w:t xml:space="preserve">Approvazione del Piano Programma delle Attività del Bilancio Annuale di Previsione 2026, del Bilancio
Pluriennale 2026/2028 della A.S.S.O Azienda Speciale Servizi Osimo.</w:t>
      </w:r>
      <w:r>
        <w:rPr>
          <w:rFonts w:ascii="Arial" w:hAnsi="Arial" w:cs="Arial" w:eastAsia="Arial"/>
          <w:sz w:val="24"/>
        </w:rPr>
      </w:r>
      <w:r/>
    </w:p>
    <w:p>
      <w:pPr>
        <w:jc w:val="both"/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  <w:pBdr>
          <w:bottom w:val="single" w:color="000000" w:sz="6" w:space="0"/>
        </w:pBd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tabs>
          <w:tab w:val="left" w:pos="708" w:leader="none"/>
          <w:tab w:val="center" w:pos="4819" w:leader="none"/>
          <w:tab w:val="right" w:pos="9638" w:leader="none"/>
        </w:tabs>
        <w:rPr>
          <w:rFonts w:ascii="Arial" w:hAnsi="Arial" w:cs="Arial" w:eastAsia="Arial"/>
        </w:rPr>
      </w:pPr>
      <w:r>
        <w:rPr>
          <w:rFonts w:ascii="Arial" w:hAnsi="Arial" w:cs="Arial" w:eastAsia="Arial"/>
          <w:sz w:val="24"/>
          <w:lang w:eastAsia="it-IT"/>
        </w:rPr>
      </w:r>
      <w:r>
        <w:rPr>
          <w:rFonts w:ascii="Arial" w:hAnsi="Arial" w:cs="Arial" w:eastAsia="Arial"/>
          <w:sz w:val="24"/>
        </w:rPr>
      </w:r>
      <w:r/>
    </w:p>
    <w:p>
      <w:pPr>
        <w:pStyle w:val="945"/>
      </w:pPr>
      <w:r/>
      <w:r/>
    </w:p>
    <w:p>
      <w:pPr>
        <w:jc w:val="center"/>
        <w:rPr>
          <w:rFonts w:ascii="Arial" w:hAnsi="Arial" w:cs="Arial" w:eastAsia="Arial"/>
          <w:b/>
          <w:sz w:val="24"/>
          <w:highlight w:val="none"/>
        </w:rPr>
      </w:pPr>
      <w:r>
        <w:rPr>
          <w:rFonts w:ascii="Arial" w:hAnsi="Arial" w:cs="Arial" w:eastAsia="Arial"/>
          <w:b/>
          <w:sz w:val="24"/>
          <w:highlight w:val="none"/>
        </w:rPr>
      </w:r>
      <w:r>
        <w:rPr>
          <w:rFonts w:ascii="Arial" w:hAnsi="Arial" w:cs="Arial" w:eastAsia="Arial"/>
          <w:b/>
          <w:sz w:val="24"/>
          <w:highlight w:val="none"/>
        </w:rPr>
      </w:r>
      <w:r/>
    </w:p>
    <w:p>
      <w:pPr>
        <w:pStyle w:val="930"/>
        <w:jc w:val="center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sz w:val="24"/>
        </w:rPr>
        <w:t xml:space="preserve">IL CONSIGLIO COMUNALE</w:t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left"/>
        <w:rPr>
          <w:rFonts w:ascii="Arial" w:hAnsi="Arial" w:cs="Arial" w:eastAsia="Arial"/>
          <w:b/>
          <w:bCs/>
          <w:sz w:val="24"/>
          <w:szCs w:val="24"/>
          <w:highlight w:val="none"/>
        </w:rPr>
      </w:pP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>
        <w:rPr>
          <w:rFonts w:ascii="Arial" w:hAnsi="Arial" w:cs="Arial" w:eastAsia="Arial"/>
          <w:b/>
          <w:bCs/>
          <w:sz w:val="24"/>
          <w:szCs w:val="24"/>
          <w:highlight w:val="none"/>
        </w:rPr>
      </w:r>
      <w:r/>
    </w:p>
    <w:p>
      <w:pPr>
        <w:jc w:val="center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9"/>
        <w:jc w:val="both"/>
        <w:rPr>
          <w:rFonts w:hint="eastAsia"/>
        </w:rPr>
      </w:pPr>
      <w:r>
        <w:t xml:space="preserve">Premesso che, con deliberazione n. 66 del 18/12/2013, il Consiglio Comunale ha approvato ed autorizzato la trasformazione, ai sensi dell'art. 2500 septies Cod. Civ., della società unipersona</w:t>
      </w:r>
      <w:r>
        <w:t xml:space="preserve">le A.S.S.O. S.r.l., interamente partecipata dal Comune di Osimo, in A.S.S.O. - Azienda Speciale Servizi Osimo, per la gestione dei servizi socio-assistenziali, socio-educativi e culturali del Comune di Osimo, approvando contestualmente il relativo Statuto;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9"/>
        <w:jc w:val="both"/>
        <w:rPr>
          <w:rFonts w:hint="eastAsia"/>
        </w:rPr>
      </w:pPr>
      <w:r>
        <w:t xml:space="preserve">Preso atto che la trasformazione è stata deliberata dall'Assemblea Straordinaria della società A.S.S.O. S.r.l. in data 23.12.2013 – atto pubblico rep.n. 31628 del notaio dott. Andrea Scoccianti di Osimo – con effetto dall'01.01.2014;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9"/>
        <w:jc w:val="both"/>
        <w:rPr>
          <w:rFonts w:hint="eastAsia"/>
        </w:rPr>
      </w:pPr>
      <w:r>
        <w:t xml:space="preserve">Appurato che: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9"/>
        <w:jc w:val="both"/>
        <w:rPr>
          <w:rFonts w:hint="eastAsia"/>
        </w:rPr>
      </w:pPr>
      <w:r>
        <w:t xml:space="preserve">ai sensi dell'art. 114, c.6 del Decreto Legislativo 18 agosto 2000, n. 267 e ss.mm.ii. di approvazione del T.U.E.L. gli Enti Locali approvano gli atti fondamentali delle proprie Aziende Speciali;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9"/>
        <w:jc w:val="both"/>
        <w:rPr>
          <w:rFonts w:hint="eastAsia"/>
        </w:rPr>
      </w:pPr>
      <w:r>
        <w:t xml:space="preserve">con </w:t>
      </w:r>
      <w:r>
        <w:t xml:space="preserve">delibera n.</w:t>
      </w:r>
      <w:r>
        <w:t xml:space="preserve">75</w:t>
      </w:r>
      <w:r>
        <w:t xml:space="preserve"> del 11/11/2025</w:t>
      </w:r>
      <w:r>
        <w:t xml:space="preserve"> il Consiglio di Amministrazione della A.S.S.O. – Azienda Speciale Servizi Osimo ha approvato il Piano Programma</w:t>
      </w:r>
      <w:r>
        <w:t xml:space="preserve"> delle attività, il Bilancio di Previsione </w:t>
      </w:r>
      <w:r>
        <w:t xml:space="preserve">2026</w:t>
      </w:r>
      <w:r>
        <w:t xml:space="preserve"> e il Bilancio di Previsione Pluriennale </w:t>
      </w:r>
      <w:r>
        <w:t xml:space="preserve">2026-2028</w:t>
      </w:r>
      <w:r>
        <w:t xml:space="preserve">, in ossequio a quanto previsto dall'art. 24 dello Statuto sociale;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8"/>
        <w:jc w:val="both"/>
        <w:rPr>
          <w:rFonts w:hint="eastAsia"/>
        </w:rPr>
      </w:pPr>
      <w:r>
        <w:t xml:space="preserve">Visti gli artt. 29 e 30 dello Statuto dell'Azienda Speciale A.S.S.O. che prevedono testualmente quanto segue:</w:t>
      </w:r>
      <w:r>
        <w:rPr>
          <w:rFonts w:hint="eastAsia"/>
        </w:rPr>
      </w:r>
      <w:r/>
    </w:p>
    <w:p>
      <w:pPr>
        <w:ind w:firstLine="708"/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"</w:t>
      </w:r>
      <w:r>
        <w:rPr>
          <w:b/>
          <w:bCs/>
        </w:rPr>
        <w:t xml:space="preserve">Art. 29</w:t>
      </w:r>
      <w:r>
        <w:t xml:space="preserve">. </w:t>
      </w:r>
      <w:r>
        <w:rPr>
          <w:i/>
          <w:iCs/>
        </w:rPr>
        <w:t xml:space="preserve">Il Comune determina le finalità, gli indirizzi ed approva gli atti fondamentali dell'Azienda necessari per raggiungere gli obiettivi di interesse collettivo che la gestione aziendale è destinata a soddisfare. </w:t>
      </w:r>
      <w:r>
        <w:rPr>
          <w:rFonts w:hint="eastAsia"/>
          <w:i/>
          <w:iCs/>
        </w:rPr>
      </w:r>
      <w:r/>
    </w:p>
    <w:p>
      <w:pPr>
        <w:jc w:val="both"/>
        <w:rPr>
          <w:rFonts w:hint="eastAsia"/>
        </w:rPr>
      </w:pPr>
      <w:r>
        <w:rPr>
          <w:i/>
          <w:iCs/>
        </w:rPr>
        <w:t xml:space="preserve">La vigilanza del Comune è finalizzata a verificare la corretta esecuzione, da parte dell'Azienda, delle finalità e degli indirizzi formulati ed il pieno rispetto dei contratti di servizio.</w:t>
      </w:r>
      <w:r>
        <w:rPr>
          <w:rFonts w:hint="eastAsia"/>
          <w:i/>
          <w:iCs/>
        </w:rPr>
      </w:r>
      <w:r/>
    </w:p>
    <w:p>
      <w:pPr>
        <w:jc w:val="both"/>
        <w:rPr>
          <w:rFonts w:hint="eastAsia"/>
        </w:rPr>
      </w:pPr>
      <w:r>
        <w:rPr>
          <w:i/>
          <w:iCs/>
        </w:rPr>
        <w:t xml:space="preserve">A tal fine, il Consiglio di Amministrazione deve presentare al Comune, alla fine di ogni trimestre, una relazione redatta di concerto con </w:t>
      </w:r>
      <w:r>
        <w:rPr>
          <w:i/>
          <w:iCs/>
        </w:rPr>
        <w:t xml:space="preserve">la Direzione Generale</w:t>
      </w:r>
      <w:r>
        <w:rPr>
          <w:i/>
          <w:iCs/>
        </w:rPr>
        <w:t xml:space="preserve"> sull'andamento dell'azienda, contenente in sintesi i dati più significativi della gestione</w:t>
      </w:r>
      <w:r>
        <w:t xml:space="preserve">."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"</w:t>
      </w:r>
      <w:r>
        <w:rPr>
          <w:b/>
          <w:bCs/>
        </w:rPr>
        <w:t xml:space="preserve">Art. 30</w:t>
      </w:r>
      <w:r>
        <w:t xml:space="preserve">. </w:t>
      </w:r>
      <w:r>
        <w:rPr>
          <w:i/>
          <w:iCs/>
        </w:rPr>
        <w:t xml:space="preserve">Sono soggetti all'approvazione del Consiglio Comunale di Osimo i seguenti atti dell'Azienda:</w:t>
      </w:r>
      <w:r>
        <w:rPr>
          <w:rFonts w:hint="eastAsia"/>
          <w:i/>
          <w:iCs/>
        </w:rPr>
      </w:r>
      <w:r/>
    </w:p>
    <w:p>
      <w:pPr>
        <w:numPr>
          <w:ilvl w:val="0"/>
          <w:numId w:val="1"/>
        </w:numPr>
        <w:jc w:val="both"/>
        <w:widowControl/>
        <w:rPr>
          <w:rFonts w:ascii="Times New Roman" w:hAnsi="Times New Roman" w:cs="Times New Roman"/>
          <w:lang w:bidi="ar-SA" w:eastAsia="it-IT"/>
        </w:rPr>
      </w:pPr>
      <w:r>
        <w:rPr>
          <w:rFonts w:ascii="Times New Roman" w:hAnsi="Times New Roman" w:cs="Times New Roman"/>
          <w:i/>
          <w:iCs/>
          <w:lang w:bidi="ar-SA" w:eastAsia="it-IT"/>
        </w:rPr>
        <w:t xml:space="preserve">Il Bilancio di previsione Pluriennale e il Piano Programma</w:t>
      </w:r>
      <w:r>
        <w:rPr>
          <w:rFonts w:ascii="Times New Roman" w:hAnsi="Times New Roman" w:cs="Times New Roman"/>
          <w:i/>
          <w:iCs/>
          <w:lang w:bidi="ar-SA" w:eastAsia="it-IT"/>
        </w:rPr>
      </w:r>
      <w:r/>
    </w:p>
    <w:p>
      <w:pPr>
        <w:numPr>
          <w:ilvl w:val="0"/>
          <w:numId w:val="1"/>
        </w:numPr>
        <w:jc w:val="both"/>
        <w:spacing w:before="100" w:beforeAutospacing="1" w:after="100" w:afterAutospacing="1"/>
        <w:widowControl/>
        <w:rPr>
          <w:rFonts w:hint="eastAsia"/>
        </w:rPr>
      </w:pPr>
      <w:r>
        <w:rPr>
          <w:i/>
          <w:iCs/>
        </w:rPr>
        <w:t xml:space="preserve">Il Bilancio Preventivo economico annuale</w:t>
      </w:r>
      <w:r>
        <w:rPr>
          <w:rFonts w:hint="eastAsia"/>
          <w:i/>
          <w:iCs/>
        </w:rPr>
      </w:r>
      <w:r/>
    </w:p>
    <w:p>
      <w:pPr>
        <w:numPr>
          <w:ilvl w:val="0"/>
          <w:numId w:val="1"/>
        </w:numPr>
        <w:jc w:val="both"/>
        <w:spacing w:before="100" w:beforeAutospacing="1" w:after="100" w:afterAutospacing="1"/>
        <w:widowControl/>
        <w:rPr>
          <w:rFonts w:hint="eastAsia"/>
        </w:rPr>
      </w:pPr>
      <w:r>
        <w:rPr>
          <w:i/>
          <w:iCs/>
        </w:rPr>
        <w:t xml:space="preserve">Il Bilancio di Esercizio/Conto Consuntivo.</w:t>
      </w:r>
      <w:r>
        <w:rPr>
          <w:rFonts w:hint="eastAsia"/>
          <w:i/>
          <w:iCs/>
        </w:rPr>
      </w:r>
      <w:r/>
    </w:p>
    <w:p>
      <w:pPr>
        <w:jc w:val="both"/>
        <w:rPr>
          <w:rFonts w:hint="eastAsia"/>
        </w:rPr>
      </w:pPr>
      <w:r>
        <w:rPr>
          <w:i/>
          <w:iCs/>
        </w:rPr>
        <w:t xml:space="preserve">L'approvazione di tali atti dovrà avvenire nei modi e nei termini previsti dalle leggi vigenti e da </w:t>
      </w:r>
      <w:r>
        <w:rPr>
          <w:i/>
          <w:iCs/>
        </w:rPr>
        <w:t xml:space="preserve">quanto previsto nel presente Statuto.</w:t>
      </w:r>
      <w:r>
        <w:rPr>
          <w:rFonts w:hint="eastAsia"/>
          <w:i/>
          <w:iCs/>
        </w:rPr>
      </w:r>
      <w:r/>
    </w:p>
    <w:p>
      <w:pPr>
        <w:jc w:val="both"/>
        <w:rPr>
          <w:rFonts w:hint="eastAsia"/>
        </w:rPr>
      </w:pPr>
      <w:r>
        <w:rPr>
          <w:i/>
          <w:iCs/>
        </w:rPr>
        <w:t xml:space="preserve">In caso di mancata approvazione il Consiglio Comunale è tenuto ad indicare le modifiche da apportare agli atti di programmazione economico-finanziaria e di pianificazione e l'Azienda è tenuta ad adeguarsi";</w:t>
      </w:r>
      <w:r>
        <w:rPr>
          <w:rFonts w:hint="eastAsia"/>
          <w:i/>
          <w:iCs/>
        </w:rPr>
      </w:r>
      <w:r/>
    </w:p>
    <w:p>
      <w:pPr>
        <w:ind w:left="720"/>
        <w:jc w:val="both"/>
        <w:widowControl/>
        <w:rPr>
          <w:rFonts w:ascii="Times New Roman" w:hAnsi="Times New Roman" w:cs="Times New Roman"/>
          <w:lang w:bidi="ar-SA" w:eastAsia="it-IT"/>
        </w:rPr>
      </w:pPr>
      <w:r>
        <w:rPr>
          <w:rFonts w:ascii="Times New Roman" w:hAnsi="Times New Roman" w:cs="Times New Roman"/>
          <w:lang w:bidi="ar-SA" w:eastAsia="it-IT"/>
        </w:rPr>
      </w:r>
      <w:r>
        <w:rPr>
          <w:rFonts w:ascii="Times New Roman" w:hAnsi="Times New Roman" w:cs="Times New Roman"/>
          <w:lang w:bidi="ar-SA" w:eastAsia="it-IT"/>
        </w:rPr>
      </w:r>
      <w:r/>
    </w:p>
    <w:p>
      <w:pPr>
        <w:ind w:firstLine="709"/>
        <w:jc w:val="both"/>
        <w:rPr>
          <w:rFonts w:hint="eastAsia"/>
        </w:rPr>
      </w:pPr>
      <w:r>
        <w:t xml:space="preserve">Dato atto, infine, che l'Azienda A.S.S.O., con la sua struttura amministrativa autonoma</w:t>
      </w:r>
      <w:r>
        <w:t xml:space="preserve">, è dotata di contabilità analitica con piano dei conti suddiviso in aree, settori e centri di costo, essendo molteplici i servizi svolti a favore e per conto del Comune di Osimo;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ab/>
        <w:t xml:space="preserve">Vista la delibera di Consiglio Comunale </w:t>
      </w:r>
      <w:r>
        <w:t xml:space="preserve">n. 79</w:t>
      </w:r>
      <w:r>
        <w:t xml:space="preserve"> del 29/12/2025</w:t>
      </w:r>
      <w:r>
        <w:t xml:space="preserve"> con la quale è stato approvato il Bilancio di Previsione 20</w:t>
      </w:r>
      <w:r>
        <w:t xml:space="preserve">26</w:t>
      </w:r>
      <w:r>
        <w:t xml:space="preserve">/2028</w:t>
      </w:r>
      <w:r>
        <w:t xml:space="preserve">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8"/>
        <w:jc w:val="both"/>
        <w:rPr>
          <w:rFonts w:hint="eastAsia"/>
        </w:rPr>
      </w:pPr>
      <w:r>
        <w:t xml:space="preserve">Vista la </w:t>
      </w:r>
      <w:r>
        <w:t xml:space="preserve">delibera di Consiglio Comunale </w:t>
      </w:r>
      <w:r>
        <w:t xml:space="preserve">n. </w:t>
      </w:r>
      <w:r>
        <w:t xml:space="preserve">57</w:t>
      </w:r>
      <w:r>
        <w:t xml:space="preserve"> del 30/09/2025</w:t>
      </w:r>
      <w:r>
        <w:t xml:space="preserve"> con la quale è stato approvato il DUP 20</w:t>
      </w:r>
      <w:r>
        <w:t xml:space="preserve">26</w:t>
      </w:r>
      <w:r>
        <w:t xml:space="preserve">/2028</w:t>
      </w:r>
      <w:r>
        <w:t xml:space="preserve">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8"/>
        <w:jc w:val="both"/>
        <w:rPr>
          <w:rFonts w:hint="eastAsia"/>
        </w:rPr>
      </w:pPr>
      <w:r>
        <w:t xml:space="preserve">Rilevato che gli stanziamenti del Bilancio di Previsione 20</w:t>
      </w:r>
      <w:r>
        <w:t xml:space="preserve">26</w:t>
      </w:r>
      <w:r>
        <w:t xml:space="preserve"> e del Bilancio di Previsione Pluriennale 20</w:t>
      </w:r>
      <w:r>
        <w:t xml:space="preserve">26</w:t>
      </w:r>
      <w:r>
        <w:t xml:space="preserve">-2028</w:t>
      </w:r>
      <w:r>
        <w:t xml:space="preserve">, dell’Azienda Speciale A.S.S.O. </w:t>
      </w:r>
      <w:r>
        <w:t xml:space="preserve">risultano </w:t>
      </w:r>
      <w:r>
        <w:t xml:space="preserve">coerenti con il Bilancio Previsionale 20</w:t>
      </w:r>
      <w:r>
        <w:t xml:space="preserve">26</w:t>
      </w:r>
      <w:r>
        <w:t xml:space="preserve">/2028</w:t>
      </w:r>
      <w:r>
        <w:t xml:space="preserve"> del Comune di Osimo, approvato con </w:t>
      </w:r>
      <w:r>
        <w:t xml:space="preserve">il citato </w:t>
      </w:r>
      <w:r>
        <w:t xml:space="preserve">atto </w:t>
      </w:r>
      <w:r>
        <w:t xml:space="preserve">C.C. n. </w:t>
      </w:r>
      <w:r>
        <w:t xml:space="preserve">79</w:t>
      </w:r>
      <w:r>
        <w:t xml:space="preserve"> del </w:t>
      </w:r>
      <w:r>
        <w:t xml:space="preserve">29/12/2025</w:t>
      </w:r>
      <w:r>
        <w:t xml:space="preserve">;</w:t>
      </w:r>
      <w:r>
        <w:rPr>
          <w:rFonts w:hint="eastAsia"/>
        </w:rPr>
      </w:r>
      <w:r/>
    </w:p>
    <w:p>
      <w:pPr>
        <w:ind w:firstLine="708"/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8"/>
        <w:jc w:val="both"/>
        <w:rPr>
          <w:rFonts w:hint="eastAsia"/>
        </w:rPr>
      </w:pPr>
      <w:r>
        <w:t xml:space="preserve">Accertata la propria competenza ai sensi dell'art. 42 comma 2 lett. g) del TUEL e dello Statuto Comunale;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firstLine="708"/>
        <w:jc w:val="both"/>
      </w:pPr>
      <w:r>
        <w:t xml:space="preserve">Acquisiti i seguenti pareri, ai sensi dell’art. 49 del D.Lgs. n. 267/2000,  allegati al presente atto:</w:t>
      </w:r>
      <w:r/>
    </w:p>
    <w:p>
      <w:pPr>
        <w:ind w:firstLine="708"/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Parere favorevole di regolarità tecnica 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Il Segretario Generale - Dirigente del </w:t>
      </w:r>
      <w:r>
        <w:t xml:space="preserve">Dipartimento AA.GG. 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D.ssa Mariarosaria Giorgio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rPr>
          <w:highlight w:val="none"/>
        </w:rPr>
      </w:pPr>
      <w:r>
        <w:t xml:space="preserve">Parere </w:t>
      </w:r>
      <w:r>
        <w:t xml:space="preserve">favorevole </w:t>
      </w:r>
      <w:r>
        <w:t xml:space="preserve">di regolarità contabile 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La Dirigente del Dipartimento delle Finanze - Dott.ssa Anna Tiberi</w:t>
      </w:r>
      <w:r>
        <w:rPr>
          <w:rFonts w:hint="eastAsia"/>
        </w:rPr>
      </w:r>
      <w:r/>
    </w:p>
    <w:p>
      <w:pPr>
        <w:ind w:firstLine="708"/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Con la seguente votazione:</w:t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rPr>
          <w:rFonts w:hint="eastAsia"/>
        </w:rPr>
        <w:t xml:space="preserve">_________________</w:t>
      </w:r>
      <w:r>
        <w:rPr>
          <w:rFonts w:hint="eastAsia"/>
        </w:rPr>
      </w:r>
      <w:r/>
    </w:p>
    <w:p>
      <w:pPr>
        <w:jc w:val="center"/>
        <w:rPr>
          <w:rFonts w:hint="eastAsia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/>
    </w:p>
    <w:p>
      <w:pPr>
        <w:jc w:val="center"/>
        <w:rPr>
          <w:rFonts w:hint="eastAsia"/>
          <w:b/>
          <w:highlight w:val="none"/>
        </w:rPr>
      </w:pPr>
      <w:r>
        <w:rPr>
          <w:b/>
          <w:bCs/>
        </w:rPr>
        <w:t xml:space="preserve">DELIBERA</w:t>
      </w:r>
      <w:r>
        <w:rPr>
          <w:rFonts w:hint="eastAsia"/>
          <w:b/>
          <w:bCs/>
        </w:rPr>
      </w:r>
      <w:r/>
    </w:p>
    <w:p>
      <w:pPr>
        <w:jc w:val="center"/>
        <w:rPr>
          <w:b w:val="0"/>
          <w:highlight w:val="none"/>
        </w:rPr>
      </w:pPr>
      <w:r>
        <w:rPr>
          <w:b w:val="0"/>
          <w:highlight w:val="none"/>
        </w:rPr>
      </w:r>
      <w:r>
        <w:rPr>
          <w:b w:val="0"/>
          <w:highlight w:val="none"/>
        </w:rPr>
      </w:r>
      <w:r/>
    </w:p>
    <w:p>
      <w:pPr>
        <w:jc w:val="center"/>
        <w:rPr>
          <w:b w:val="0"/>
          <w:highlight w:val="none"/>
        </w:rPr>
      </w:pPr>
      <w:r>
        <w:rPr>
          <w:rFonts w:hint="eastAsia"/>
          <w:b w:val="0"/>
          <w:bCs/>
          <w:highlight w:val="none"/>
        </w:rPr>
        <w:t xml:space="preserve">Di richiamare la parte narrativa in premessa a far parte integrante e sostanziale del deliberato;</w:t>
      </w:r>
      <w:r>
        <w:rPr>
          <w:rFonts w:hint="eastAsia"/>
          <w:b w:val="0"/>
          <w:bCs/>
          <w:highlight w:val="none"/>
        </w:rPr>
      </w:r>
      <w:r/>
    </w:p>
    <w:p>
      <w:pPr>
        <w:jc w:val="center"/>
        <w:rPr>
          <w:rFonts w:hint="eastAsia"/>
          <w:b w:val="0"/>
        </w:rPr>
      </w:pPr>
      <w:r>
        <w:rPr>
          <w:rFonts w:hint="eastAsia"/>
          <w:b w:val="0"/>
          <w:bCs/>
        </w:rPr>
      </w:r>
      <w:r>
        <w:rPr>
          <w:b w:val="0"/>
        </w:rPr>
      </w:r>
      <w:r/>
    </w:p>
    <w:p>
      <w:pPr>
        <w:numPr>
          <w:ilvl w:val="0"/>
          <w:numId w:val="2"/>
        </w:numPr>
        <w:jc w:val="both"/>
        <w:widowControl/>
        <w:rPr>
          <w:rFonts w:hint="eastAsia"/>
        </w:rPr>
      </w:pPr>
      <w:r>
        <w:t xml:space="preserve">di prendere atto e  approvare,  per quanto di competenza,  il Piano Programma delle attività, il Bilancio annuale di previsione 20</w:t>
      </w:r>
      <w:r>
        <w:t xml:space="preserve">26</w:t>
      </w:r>
      <w:r>
        <w:t xml:space="preserve"> e il Bilancio Pluriennale di Previsione 20</w:t>
      </w:r>
      <w:r>
        <w:t xml:space="preserve">26</w:t>
      </w:r>
      <w:r>
        <w:t xml:space="preserve">/2028</w:t>
      </w:r>
      <w:r>
        <w:t xml:space="preserve"> dell'Azienda Speciale </w:t>
      </w:r>
      <w:r>
        <w:t xml:space="preserve">"</w:t>
      </w:r>
      <w:r>
        <w:rPr>
          <w:i/>
          <w:iCs/>
        </w:rPr>
        <w:t xml:space="preserve">A.S.S.O. – Azienda Speciale Servizi Osimo</w:t>
      </w:r>
      <w:r>
        <w:t xml:space="preserve">" come trasmesso al Comune di Osimo in data 12/11/2025</w:t>
      </w:r>
      <w:r>
        <w:t xml:space="preserve">, con nota acquisita al protocollo comunale n. 40851</w:t>
      </w:r>
      <w:r>
        <w:t xml:space="preserve">, che costituisce parte integrante e sostanziale della presente</w:t>
      </w:r>
      <w:r>
        <w:t xml:space="preserve"> deliberazione;</w:t>
      </w:r>
      <w:r>
        <w:rPr>
          <w:rFonts w:hint="eastAsia"/>
        </w:rPr>
      </w:r>
      <w:r/>
    </w:p>
    <w:p>
      <w:pPr>
        <w:ind w:left="720"/>
        <w:jc w:val="both"/>
        <w:widowControl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numPr>
          <w:ilvl w:val="0"/>
          <w:numId w:val="2"/>
        </w:numPr>
        <w:jc w:val="both"/>
        <w:widowControl/>
        <w:rPr>
          <w:rFonts w:hint="eastAsia"/>
        </w:rPr>
      </w:pPr>
      <w:r>
        <w:t xml:space="preserve">di trasmettere copia della presente deliberazione alla A.S.S.O. – Azienda Speciale Servizi Osimo”.</w:t>
      </w:r>
      <w:r>
        <w:rPr>
          <w:rFonts w:hint="eastAsia"/>
        </w:rPr>
      </w:r>
      <w:r/>
    </w:p>
    <w:p>
      <w:pPr>
        <w:pStyle w:val="934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center"/>
        <w:widowControl/>
        <w:rPr>
          <w:rFonts w:hint="eastAsia"/>
        </w:rPr>
      </w:pPr>
      <w:r>
        <w:t xml:space="preserve">***</w:t>
      </w:r>
      <w:r>
        <w:rPr>
          <w:rFonts w:hint="eastAsia"/>
        </w:rPr>
      </w:r>
      <w:r/>
    </w:p>
    <w:p>
      <w:pPr>
        <w:jc w:val="both"/>
        <w:widowControl/>
        <w:rPr>
          <w:rFonts w:hint="eastAsia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widowControl/>
        <w:rPr>
          <w:highlight w:val="none"/>
        </w:rPr>
      </w:pPr>
      <w:r>
        <w:t xml:space="preserve">Il Presidente del Consiglio Comunale pone quindi a votazione la proposta di rendere il presente atto immediatamente eseguibile.</w:t>
      </w:r>
      <w:r>
        <w:rPr>
          <w:rFonts w:hint="eastAsia"/>
        </w:rPr>
      </w:r>
      <w:r/>
    </w:p>
    <w:p>
      <w:pPr>
        <w:jc w:val="both"/>
        <w:widowControl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widowControl/>
        <w:rPr>
          <w:rFonts w:hint="eastAsia"/>
          <w:highlight w:val="none"/>
        </w:rPr>
      </w:pPr>
      <w:r>
        <w:t xml:space="preserve">Pertanto,</w:t>
      </w:r>
      <w:r>
        <w:rPr>
          <w:rFonts w:hint="eastAsia"/>
          <w:highlight w:val="none"/>
        </w:rPr>
      </w:r>
      <w:r/>
    </w:p>
    <w:p>
      <w:pPr>
        <w:jc w:val="both"/>
        <w:widowControl/>
        <w:rPr>
          <w:rFonts w:hint="eastAsia"/>
          <w:highlight w:val="none"/>
        </w:rPr>
      </w:pPr>
      <w:r>
        <w:rPr>
          <w:rFonts w:hint="eastAsia"/>
          <w:highlight w:val="none"/>
        </w:rPr>
      </w:r>
      <w:r>
        <w:rPr>
          <w:rFonts w:hint="eastAsia"/>
          <w:highlight w:val="none"/>
        </w:rPr>
      </w:r>
      <w:r/>
    </w:p>
    <w:p>
      <w:pPr>
        <w:jc w:val="both"/>
        <w:widowControl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center"/>
        <w:widowControl/>
        <w:rPr>
          <w:rFonts w:hint="eastAsia"/>
        </w:rPr>
      </w:pPr>
      <w:r>
        <w:rPr>
          <w:b/>
        </w:rPr>
        <w:t xml:space="preserve">IL CONSIGLIO COMUNALE</w:t>
      </w:r>
      <w:r>
        <w:rPr>
          <w:rFonts w:hint="eastAsia"/>
          <w:b/>
        </w:rPr>
      </w:r>
      <w:r/>
    </w:p>
    <w:p>
      <w:pPr>
        <w:jc w:val="both"/>
        <w:widowControl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widowControl/>
        <w:rPr>
          <w:rFonts w:hint="eastAsia"/>
        </w:rPr>
      </w:pPr>
      <w:r>
        <w:tab/>
        <w:t xml:space="preserve">Udita la proposta,</w:t>
      </w:r>
      <w:r>
        <w:rPr>
          <w:rFonts w:hint="eastAsia"/>
        </w:rPr>
      </w:r>
      <w:r/>
    </w:p>
    <w:p>
      <w:pPr>
        <w:jc w:val="both"/>
        <w:widowControl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both"/>
        <w:rPr>
          <w:rFonts w:hint="eastAsia"/>
        </w:rPr>
      </w:pPr>
      <w:r>
        <w:t xml:space="preserve">Con la seguente votazione:</w:t>
      </w:r>
      <w:r>
        <w:rPr>
          <w:rFonts w:hint="eastAsia"/>
        </w:rPr>
      </w:r>
      <w:r/>
    </w:p>
    <w:p>
      <w:pPr>
        <w:jc w:val="both"/>
        <w:widowControl/>
      </w:pPr>
      <w:r/>
      <w:r/>
    </w:p>
    <w:p>
      <w:pPr>
        <w:jc w:val="both"/>
        <w:widowControl/>
        <w:rPr>
          <w:rFonts w:hint="eastAsia"/>
        </w:rPr>
      </w:pPr>
      <w:r>
        <w:t xml:space="preserve">_____________________</w:t>
      </w:r>
      <w:bookmarkStart w:id="0" w:name="_GoBack"/>
      <w:r/>
      <w:bookmarkEnd w:id="0"/>
      <w:r>
        <w:rPr>
          <w:rFonts w:hint="eastAsia"/>
        </w:rPr>
      </w:r>
      <w:r/>
    </w:p>
    <w:p>
      <w:pPr>
        <w:jc w:val="center"/>
        <w:rPr>
          <w:rFonts w:hint="eastAsia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/>
    </w:p>
    <w:p>
      <w:pPr>
        <w:jc w:val="center"/>
        <w:rPr>
          <w:b/>
          <w:highlight w:val="none"/>
        </w:rPr>
      </w:pPr>
      <w:r>
        <w:rPr>
          <w:b/>
          <w:bCs/>
        </w:rPr>
        <w:t xml:space="preserve">DELIBERA</w:t>
      </w:r>
      <w:r>
        <w:rPr>
          <w:rFonts w:hint="eastAsia"/>
          <w:b/>
          <w:bCs/>
        </w:rPr>
      </w:r>
      <w:r/>
    </w:p>
    <w:p>
      <w:pPr>
        <w:jc w:val="both"/>
        <w:widowControl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pStyle w:val="934"/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ind w:left="0" w:firstLine="0"/>
        <w:jc w:val="both"/>
        <w:widowControl/>
        <w:rPr>
          <w:rFonts w:hint="eastAsia"/>
        </w:rPr>
      </w:pPr>
      <w:r>
        <w:t xml:space="preserve">di rendere il presente atto immediatamente eseguibile ai sensi art.134 del T.U.E.L. n.267/2000.</w:t>
      </w:r>
      <w:r>
        <w:rPr>
          <w:rFonts w:hint="eastAsia"/>
        </w:rPr>
      </w:r>
      <w:r/>
    </w:p>
    <w:p>
      <w:pPr>
        <w:tabs>
          <w:tab w:val="left" w:pos="3706" w:leader="none"/>
        </w:tabs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jc w:val="center"/>
        <w:tabs>
          <w:tab w:val="left" w:pos="3706" w:leader="none"/>
        </w:tabs>
        <w:rPr>
          <w:rFonts w:hint="eastAsia"/>
        </w:rPr>
      </w:pPr>
      <w:r>
        <w:rPr>
          <w:rFonts w:hint="eastAsia"/>
        </w:rPr>
      </w:r>
      <w:r/>
    </w:p>
    <w:p>
      <w:pPr>
        <w:tabs>
          <w:tab w:val="left" w:pos="3706" w:leader="none"/>
        </w:tabs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pPr>
        <w:rPr>
          <w:rFonts w:hint="eastAsia"/>
        </w:rPr>
      </w:pPr>
      <w:r>
        <w:rPr>
          <w:rFonts w:hint="eastAsia"/>
        </w:rPr>
      </w:r>
      <w:r>
        <w:rPr>
          <w:rFonts w:hint="eastAsia"/>
        </w:rPr>
      </w:r>
      <w:r/>
    </w:p>
    <w:p>
      <w:r>
        <w:rPr>
          <w:rFonts w:ascii="Arial" w:hAnsi="Arial" w:cs="Arial" w:eastAsia="Times New Roman"/>
          <w:lang w:eastAsia="it-IT"/>
        </w:rPr>
      </w:r>
      <w:r/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1134" w:right="1134" w:bottom="1134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Arial">
    <w:panose1 w:val="020B0604020202020204"/>
  </w:font>
  <w:font w:name="SimSun">
    <w:panose1 w:val="02020603020101020101"/>
  </w:font>
  <w:font w:name="Courier New">
    <w:panose1 w:val="02070309020205020404"/>
  </w:font>
  <w:font w:name="Mangal">
    <w:panose1 w:val="02020603050405020304"/>
  </w:font>
  <w:font w:name="Liberation Serif">
    <w:panose1 w:val="02020603050405020304"/>
  </w:font>
  <w:font w:name="Calibri">
    <w:panose1 w:val="020F050202020403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ind w:left="0" w:right="0" w:firstLine="0"/>
      <w:jc w:val="center"/>
      <w:spacing w:before="0" w:after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  <w:highlight w:val="none"/>
      </w:rPr>
    </w:r>
    <w:r/>
  </w:p>
  <w:p>
    <w:pPr>
      <w:ind w:left="0" w:right="0" w:firstLine="0"/>
      <w:jc w:val="left"/>
      <w:spacing w:before="0" w:after="0"/>
      <w:rPr>
        <w:rFonts w:ascii="Arial" w:hAnsi="Arial" w:cs="Arial" w:eastAsia="Arial"/>
        <w:color w:val="000000"/>
        <w:highlight w:val="none"/>
      </w:r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</w:pBdr>
    </w:pPr>
    <w:r>
      <w:rPr>
        <w:rFonts w:ascii="Arial" w:hAnsi="Arial" w:cs="Arial" w:eastAsia="Arial"/>
        <w:color w:val="000000"/>
        <w:sz w:val="18"/>
      </w:rPr>
      <w:t xml:space="preserve">Proposta di </w:t>
    </w:r>
    <w:r>
      <w:rPr>
        <w:rFonts w:ascii="Arial" w:hAnsi="Arial" w:cs="Arial" w:eastAsia="Arial"/>
        <w:color w:val="000000"/>
        <w:sz w:val="18"/>
      </w:rPr>
      <w:t xml:space="preserve">Delibera di Consiglio</w:t>
    </w:r>
    <w:r>
      <w:rPr>
        <w:rFonts w:ascii="Arial" w:hAnsi="Arial" w:cs="Arial" w:eastAsia="Arial"/>
        <w:color w:val="000000"/>
        <w:sz w:val="18"/>
      </w:rPr>
      <w:t xml:space="preserve"> n. 1263 del 22/10/2026</w:t>
    </w:r>
    <w:r>
      <w:rPr>
        <w:rFonts w:ascii="Arial" w:hAnsi="Arial" w:cs="Arial" w:eastAsia="Arial"/>
        <w:color w:val="000000"/>
        <w:highlight w:val="none"/>
      </w:rPr>
    </w:r>
    <w:r/>
  </w:p>
  <w:p>
    <w:pPr>
      <w:pStyle w:val="917"/>
      <w:jc w:val="right"/>
      <w:rPr>
        <w:rFonts w:ascii="Arial" w:hAnsi="Arial" w:cs="Arial" w:eastAsia="Arial"/>
        <w:highlight w:val="none"/>
      </w:rPr>
    </w:pPr>
    <w:r>
      <w:rPr>
        <w:rFonts w:ascii="Arial" w:hAnsi="Arial" w:cs="Arial" w:eastAsia="Arial"/>
        <w:sz w:val="18"/>
      </w:rPr>
      <w:t xml:space="preserve">Pag. </w:t>
    </w:r>
    <w:fldSimple w:instr="PAGE \* MERGEFORMAT">
      <w:r>
        <w:rPr>
          <w:rFonts w:ascii="Arial" w:hAnsi="Arial" w:cs="Arial" w:eastAsia="Arial"/>
          <w:sz w:val="18"/>
        </w:rPr>
        <w:t xml:space="preserve">1</w:t>
      </w:r>
    </w:fldSimple>
    <w:r>
      <w:rPr>
        <w:rFonts w:ascii="Arial" w:hAnsi="Arial" w:cs="Arial" w:eastAsia="Arial"/>
        <w:sz w:val="18"/>
      </w:rPr>
    </w:r>
    <w:r>
      <w:rPr>
        <w:rFonts w:ascii="Arial" w:hAnsi="Arial" w:cs="Arial" w:eastAsia="Arial"/>
        <w:highlight w:val="none"/>
      </w:rPr>
    </w:r>
    <w:r/>
  </w:p>
  <w:p>
    <w:r/>
    <w:r/>
  </w:p>
  <w:p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</w:pPr>
    <w:r/>
    <w:r/>
  </w:p>
  <w:p>
    <w:r>
      <w:rPr>
        <w:rFonts w:ascii="Times New Roman" w:hAnsi="Times New Roman" w:cs="Times New Roman" w:eastAsia="Times New Roman"/>
        <w:lang w:bidi="ar-SA" w:eastAsia="it-IT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-144145</wp:posOffset>
              </wp:positionV>
              <wp:extent cx="1444625" cy="1776730"/>
              <wp:effectExtent l="0" t="0" r="0" b="0"/>
              <wp:wrapNone/>
              <wp:docPr id="1" name="Immagine 1" descr="logo1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96180020" name="Immagine 1" descr="logo1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1444624" cy="1776729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9.0pt;mso-wrap-distance-top:0.0pt;mso-wrap-distance-right:9.0pt;mso-wrap-distance-bottom:0.0pt;z-index:251659264;o:allowoverlap:true;o:allowincell:true;mso-position-horizontal-relative:text;margin-left:-17.8pt;mso-position-horizontal:absolute;mso-position-vertical-relative:text;margin-top:-11.3pt;mso-position-vertical:absolute;width:113.8pt;height:139.9pt;rotation:0;" stroked="false">
              <v:path textboxrect="0,0,0,0"/>
              <v:imagedata r:id="rId1" o:title=""/>
            </v:shape>
          </w:pict>
        </mc:Fallback>
      </mc:AlternateContent>
    </w:r>
    <w:r/>
  </w:p>
  <w:p>
    <w:pPr>
      <w:pStyle w:val="959"/>
    </w:pPr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Times New Roman" w:hAnsi="Times New Roman" w:cs="Times New Roman" w:eastAsia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hAnsi="Liberation Serif" w:cs="Mangal" w:eastAsia="SimSun" w:hint="default"/>
        <w:sz w:val="24"/>
        <w:szCs w:val="24"/>
        <w:lang w:val="it-IT" w:bidi="hi-IN" w:eastAsia="zh-C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33">
    <w:name w:val="Normal"/>
    <w:qFormat/>
  </w:style>
  <w:style w:type="character" w:styleId="734">
    <w:name w:val="Default Paragraph Font"/>
    <w:uiPriority w:val="1"/>
    <w:semiHidden/>
    <w:unhideWhenUsed/>
  </w:style>
  <w:style w:type="numbering" w:styleId="735">
    <w:name w:val="No List"/>
    <w:uiPriority w:val="99"/>
    <w:semiHidden/>
    <w:unhideWhenUsed/>
  </w:style>
  <w:style w:type="paragraph" w:styleId="736">
    <w:name w:val="Heading 1"/>
    <w:basedOn w:val="733"/>
    <w:next w:val="733"/>
    <w:link w:val="73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737">
    <w:name w:val="Heading 1 Char"/>
    <w:basedOn w:val="734"/>
    <w:link w:val="736"/>
    <w:uiPriority w:val="9"/>
    <w:rPr>
      <w:rFonts w:ascii="Arial" w:hAnsi="Arial" w:cs="Arial" w:eastAsia="Arial"/>
      <w:sz w:val="40"/>
      <w:szCs w:val="40"/>
    </w:rPr>
  </w:style>
  <w:style w:type="paragraph" w:styleId="738">
    <w:name w:val="Heading 2"/>
    <w:basedOn w:val="733"/>
    <w:next w:val="733"/>
    <w:link w:val="7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739">
    <w:name w:val="Heading 2 Char"/>
    <w:basedOn w:val="734"/>
    <w:link w:val="738"/>
    <w:uiPriority w:val="9"/>
    <w:rPr>
      <w:rFonts w:ascii="Arial" w:hAnsi="Arial" w:cs="Arial" w:eastAsia="Arial"/>
      <w:sz w:val="34"/>
    </w:rPr>
  </w:style>
  <w:style w:type="paragraph" w:styleId="740">
    <w:name w:val="Heading 3"/>
    <w:basedOn w:val="733"/>
    <w:next w:val="733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741">
    <w:name w:val="Heading 3 Char"/>
    <w:basedOn w:val="734"/>
    <w:link w:val="740"/>
    <w:uiPriority w:val="9"/>
    <w:rPr>
      <w:rFonts w:ascii="Arial" w:hAnsi="Arial" w:cs="Arial" w:eastAsia="Arial"/>
      <w:sz w:val="30"/>
      <w:szCs w:val="30"/>
    </w:rPr>
  </w:style>
  <w:style w:type="paragraph" w:styleId="742">
    <w:name w:val="Heading 4"/>
    <w:basedOn w:val="733"/>
    <w:next w:val="733"/>
    <w:link w:val="74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743">
    <w:name w:val="Heading 4 Char"/>
    <w:basedOn w:val="734"/>
    <w:link w:val="742"/>
    <w:uiPriority w:val="9"/>
    <w:rPr>
      <w:rFonts w:ascii="Arial" w:hAnsi="Arial" w:cs="Arial" w:eastAsia="Arial"/>
      <w:b/>
      <w:bCs/>
      <w:sz w:val="26"/>
      <w:szCs w:val="26"/>
    </w:rPr>
  </w:style>
  <w:style w:type="paragraph" w:styleId="744">
    <w:name w:val="Heading 5"/>
    <w:basedOn w:val="733"/>
    <w:next w:val="733"/>
    <w:link w:val="74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745">
    <w:name w:val="Heading 5 Char"/>
    <w:basedOn w:val="734"/>
    <w:link w:val="744"/>
    <w:uiPriority w:val="9"/>
    <w:rPr>
      <w:rFonts w:ascii="Arial" w:hAnsi="Arial" w:cs="Arial" w:eastAsia="Arial"/>
      <w:b/>
      <w:bCs/>
      <w:sz w:val="24"/>
      <w:szCs w:val="24"/>
    </w:rPr>
  </w:style>
  <w:style w:type="paragraph" w:styleId="746">
    <w:name w:val="Heading 6"/>
    <w:basedOn w:val="733"/>
    <w:next w:val="733"/>
    <w:link w:val="7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747">
    <w:name w:val="Heading 6 Char"/>
    <w:basedOn w:val="734"/>
    <w:link w:val="746"/>
    <w:uiPriority w:val="9"/>
    <w:rPr>
      <w:rFonts w:ascii="Arial" w:hAnsi="Arial" w:cs="Arial" w:eastAsia="Arial"/>
      <w:b/>
      <w:bCs/>
      <w:sz w:val="22"/>
      <w:szCs w:val="22"/>
    </w:rPr>
  </w:style>
  <w:style w:type="paragraph" w:styleId="748">
    <w:name w:val="Heading 7"/>
    <w:basedOn w:val="733"/>
    <w:next w:val="733"/>
    <w:link w:val="74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749">
    <w:name w:val="Heading 7 Char"/>
    <w:basedOn w:val="734"/>
    <w:link w:val="748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750">
    <w:name w:val="Heading 8"/>
    <w:basedOn w:val="733"/>
    <w:next w:val="733"/>
    <w:link w:val="75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751">
    <w:name w:val="Heading 8 Char"/>
    <w:basedOn w:val="734"/>
    <w:link w:val="750"/>
    <w:uiPriority w:val="9"/>
    <w:rPr>
      <w:rFonts w:ascii="Arial" w:hAnsi="Arial" w:cs="Arial" w:eastAsia="Arial"/>
      <w:i/>
      <w:iCs/>
      <w:sz w:val="22"/>
      <w:szCs w:val="22"/>
    </w:rPr>
  </w:style>
  <w:style w:type="paragraph" w:styleId="752">
    <w:name w:val="Heading 9"/>
    <w:basedOn w:val="733"/>
    <w:next w:val="733"/>
    <w:link w:val="7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753">
    <w:name w:val="Heading 9 Char"/>
    <w:basedOn w:val="734"/>
    <w:link w:val="752"/>
    <w:uiPriority w:val="9"/>
    <w:rPr>
      <w:rFonts w:ascii="Arial" w:hAnsi="Arial" w:cs="Arial" w:eastAsia="Arial"/>
      <w:i/>
      <w:iCs/>
      <w:sz w:val="21"/>
      <w:szCs w:val="21"/>
    </w:rPr>
  </w:style>
  <w:style w:type="paragraph" w:styleId="754">
    <w:name w:val="List Paragraph"/>
    <w:basedOn w:val="733"/>
    <w:uiPriority w:val="34"/>
    <w:qFormat/>
    <w:pPr>
      <w:contextualSpacing/>
      <w:ind w:left="720"/>
    </w:pPr>
  </w:style>
  <w:style w:type="table" w:styleId="755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756">
    <w:name w:val="No Spacing"/>
    <w:uiPriority w:val="1"/>
    <w:qFormat/>
    <w:pPr>
      <w:spacing w:before="0" w:after="0" w:line="240" w:lineRule="auto"/>
    </w:pPr>
  </w:style>
  <w:style w:type="paragraph" w:styleId="757">
    <w:name w:val="Title"/>
    <w:basedOn w:val="733"/>
    <w:next w:val="733"/>
    <w:link w:val="75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8">
    <w:name w:val="Title Char"/>
    <w:basedOn w:val="734"/>
    <w:link w:val="757"/>
    <w:uiPriority w:val="10"/>
    <w:rPr>
      <w:sz w:val="48"/>
      <w:szCs w:val="48"/>
    </w:rPr>
  </w:style>
  <w:style w:type="paragraph" w:styleId="759">
    <w:name w:val="Subtitle"/>
    <w:basedOn w:val="733"/>
    <w:next w:val="733"/>
    <w:link w:val="760"/>
    <w:uiPriority w:val="11"/>
    <w:qFormat/>
    <w:pPr>
      <w:spacing w:before="200" w:after="200"/>
    </w:pPr>
    <w:rPr>
      <w:sz w:val="24"/>
      <w:szCs w:val="24"/>
    </w:rPr>
  </w:style>
  <w:style w:type="character" w:styleId="760">
    <w:name w:val="Subtitle Char"/>
    <w:basedOn w:val="734"/>
    <w:link w:val="759"/>
    <w:uiPriority w:val="11"/>
    <w:rPr>
      <w:sz w:val="24"/>
      <w:szCs w:val="24"/>
    </w:rPr>
  </w:style>
  <w:style w:type="paragraph" w:styleId="761">
    <w:name w:val="Quote"/>
    <w:basedOn w:val="733"/>
    <w:next w:val="733"/>
    <w:link w:val="762"/>
    <w:uiPriority w:val="29"/>
    <w:qFormat/>
    <w:pPr>
      <w:ind w:left="720" w:right="720"/>
    </w:pPr>
    <w:rPr>
      <w:i/>
    </w:rPr>
  </w:style>
  <w:style w:type="character" w:styleId="762">
    <w:name w:val="Quote Char"/>
    <w:link w:val="761"/>
    <w:uiPriority w:val="29"/>
    <w:rPr>
      <w:i/>
    </w:rPr>
  </w:style>
  <w:style w:type="paragraph" w:styleId="763">
    <w:name w:val="Intense Quote"/>
    <w:basedOn w:val="733"/>
    <w:next w:val="733"/>
    <w:link w:val="76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4">
    <w:name w:val="Intense Quote Char"/>
    <w:link w:val="763"/>
    <w:uiPriority w:val="30"/>
    <w:rPr>
      <w:i/>
    </w:rPr>
  </w:style>
  <w:style w:type="paragraph" w:styleId="765">
    <w:name w:val="Header"/>
    <w:basedOn w:val="733"/>
    <w:link w:val="76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6">
    <w:name w:val="Header Char"/>
    <w:basedOn w:val="734"/>
    <w:link w:val="765"/>
    <w:uiPriority w:val="99"/>
  </w:style>
  <w:style w:type="paragraph" w:styleId="767">
    <w:name w:val="Footer"/>
    <w:basedOn w:val="733"/>
    <w:link w:val="7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>
    <w:name w:val="Footer Char"/>
    <w:basedOn w:val="734"/>
    <w:link w:val="767"/>
    <w:uiPriority w:val="99"/>
  </w:style>
  <w:style w:type="paragraph" w:styleId="769">
    <w:name w:val="Caption"/>
    <w:basedOn w:val="733"/>
    <w:next w:val="7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0">
    <w:name w:val="Caption Char"/>
    <w:basedOn w:val="769"/>
    <w:link w:val="767"/>
    <w:uiPriority w:val="99"/>
  </w:style>
  <w:style w:type="table" w:styleId="771">
    <w:name w:val="Table Grid"/>
    <w:basedOn w:val="75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>
    <w:name w:val="Table Grid Light"/>
    <w:basedOn w:val="7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3">
    <w:name w:val="Plain Table 1"/>
    <w:basedOn w:val="75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>
    <w:name w:val="Plain Table 2"/>
    <w:basedOn w:val="75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6">
    <w:name w:val="Plain Table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Plain Table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8">
    <w:name w:val="Grid Table 1 Light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Grid Table 1 Light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Grid Table 1 Light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Grid Table 1 Light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Grid Table 1 Light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1 Light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1 Light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Grid Table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2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2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2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2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2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2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3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3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3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4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0">
    <w:name w:val="Grid Table 4 - Accent 1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1">
    <w:name w:val="Grid Table 4 - Accent 2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Grid Table 4 - Accent 3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3">
    <w:name w:val="Grid Table 4 - Accent 4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Grid Table 4 - Accent 5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5">
    <w:name w:val="Grid Table 4 - Accent 6"/>
    <w:basedOn w:val="75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06">
    <w:name w:val="Grid Table 5 Dark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07">
    <w:name w:val="Grid Table 5 Dark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08">
    <w:name w:val="Grid Table 5 Dark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09">
    <w:name w:val="Grid Table 5 Dark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0">
    <w:name w:val="Grid Table 5 Dark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1">
    <w:name w:val="Grid Table 5 Dark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2">
    <w:name w:val="Grid Table 5 Dark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13">
    <w:name w:val="Grid Table 6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14">
    <w:name w:val="Grid Table 6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15">
    <w:name w:val="Grid Table 6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16">
    <w:name w:val="Grid Table 6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17">
    <w:name w:val="Grid Table 6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18">
    <w:name w:val="Grid Table 6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19">
    <w:name w:val="Grid Table 6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0">
    <w:name w:val="Grid Table 7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>
    <w:name w:val="Grid Table 7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>
    <w:name w:val="Grid Table 7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7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7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7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7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List Table 1 Light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List Table 1 Light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1 Light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1 Light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35">
    <w:name w:val="List Table 2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36">
    <w:name w:val="List Table 2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37">
    <w:name w:val="List Table 2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38">
    <w:name w:val="List Table 2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39">
    <w:name w:val="List Table 2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0">
    <w:name w:val="List Table 2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1">
    <w:name w:val="List Table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>
    <w:name w:val="List Table 3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>
    <w:name w:val="List Table 3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>
    <w:name w:val="List Table 3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>
    <w:name w:val="List Table 3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3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3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>
    <w:name w:val="List Table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4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4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4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5 Dark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6">
    <w:name w:val="List Table 5 Dark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7">
    <w:name w:val="List Table 5 Dark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8">
    <w:name w:val="List Table 5 Dark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59">
    <w:name w:val="List Table 5 Dark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0">
    <w:name w:val="List Table 5 Dark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1">
    <w:name w:val="List Table 5 Dark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2">
    <w:name w:val="List Table 6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63">
    <w:name w:val="List Table 6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64">
    <w:name w:val="List Table 6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65">
    <w:name w:val="List Table 6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66">
    <w:name w:val="List Table 6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67">
    <w:name w:val="List Table 6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68">
    <w:name w:val="List Table 6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69">
    <w:name w:val="List Table 7 Colorful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0">
    <w:name w:val="List Table 7 Colorful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1">
    <w:name w:val="List Table 7 Colorful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2">
    <w:name w:val="List Table 7 Colorful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73">
    <w:name w:val="List Table 7 Colorful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74">
    <w:name w:val="List Table 7 Colorful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75">
    <w:name w:val="List Table 7 Colorful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76">
    <w:name w:val="Lined - Accent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7">
    <w:name w:val="Lined - Accent 1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8">
    <w:name w:val="Lined - Accent 2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9">
    <w:name w:val="Lined - Accent 3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0">
    <w:name w:val="Lined - Accent 4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1">
    <w:name w:val="Lined - Accent 5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2">
    <w:name w:val="Lined - Accent 6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83">
    <w:name w:val="Bordered &amp; Lined - Accent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Bordered &amp; Lined - Accent 1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5">
    <w:name w:val="Bordered &amp; Lined - Accent 2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6">
    <w:name w:val="Bordered &amp; Lined - Accent 3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7">
    <w:name w:val="Bordered &amp; Lined - Accent 4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8">
    <w:name w:val="Bordered &amp; Lined - Accent 5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9">
    <w:name w:val="Bordered &amp; Lined - Accent 6"/>
    <w:basedOn w:val="75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0">
    <w:name w:val="Bordered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1">
    <w:name w:val="Bordered - Accent 1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2">
    <w:name w:val="Bordered - Accent 2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93">
    <w:name w:val="Bordered - Accent 3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94">
    <w:name w:val="Bordered - Accent 4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95">
    <w:name w:val="Bordered - Accent 5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96">
    <w:name w:val="Bordered - Accent 6"/>
    <w:basedOn w:val="75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97">
    <w:name w:val="Hyperlink"/>
    <w:uiPriority w:val="99"/>
    <w:unhideWhenUsed/>
    <w:rPr>
      <w:color w:val="0000FF" w:themeColor="hyperlink"/>
      <w:u w:val="single"/>
    </w:rPr>
  </w:style>
  <w:style w:type="paragraph" w:styleId="898">
    <w:name w:val="footnote text"/>
    <w:basedOn w:val="733"/>
    <w:link w:val="899"/>
    <w:uiPriority w:val="99"/>
    <w:semiHidden/>
    <w:unhideWhenUsed/>
    <w:pPr>
      <w:spacing w:after="40" w:line="240" w:lineRule="auto"/>
    </w:pPr>
    <w:rPr>
      <w:sz w:val="18"/>
    </w:rPr>
  </w:style>
  <w:style w:type="character" w:styleId="899">
    <w:name w:val="Footnote Text Char"/>
    <w:link w:val="898"/>
    <w:uiPriority w:val="99"/>
    <w:rPr>
      <w:sz w:val="18"/>
    </w:rPr>
  </w:style>
  <w:style w:type="character" w:styleId="900">
    <w:name w:val="footnote reference"/>
    <w:basedOn w:val="734"/>
    <w:uiPriority w:val="99"/>
    <w:unhideWhenUsed/>
    <w:rPr>
      <w:vertAlign w:val="superscript"/>
    </w:rPr>
  </w:style>
  <w:style w:type="paragraph" w:styleId="901">
    <w:name w:val="endnote text"/>
    <w:basedOn w:val="733"/>
    <w:link w:val="902"/>
    <w:uiPriority w:val="99"/>
    <w:semiHidden/>
    <w:unhideWhenUsed/>
    <w:pPr>
      <w:spacing w:after="0" w:line="240" w:lineRule="auto"/>
    </w:pPr>
    <w:rPr>
      <w:sz w:val="20"/>
    </w:rPr>
  </w:style>
  <w:style w:type="character" w:styleId="902">
    <w:name w:val="Endnote Text Char"/>
    <w:link w:val="901"/>
    <w:uiPriority w:val="99"/>
    <w:rPr>
      <w:sz w:val="20"/>
    </w:rPr>
  </w:style>
  <w:style w:type="character" w:styleId="903">
    <w:name w:val="endnote reference"/>
    <w:basedOn w:val="734"/>
    <w:uiPriority w:val="99"/>
    <w:semiHidden/>
    <w:unhideWhenUsed/>
    <w:rPr>
      <w:vertAlign w:val="superscript"/>
    </w:rPr>
  </w:style>
  <w:style w:type="paragraph" w:styleId="904">
    <w:name w:val="toc 1"/>
    <w:basedOn w:val="733"/>
    <w:next w:val="733"/>
    <w:uiPriority w:val="39"/>
    <w:unhideWhenUsed/>
    <w:pPr>
      <w:ind w:left="0" w:right="0" w:firstLine="0"/>
      <w:spacing w:after="57"/>
    </w:pPr>
  </w:style>
  <w:style w:type="paragraph" w:styleId="905">
    <w:name w:val="toc 2"/>
    <w:basedOn w:val="733"/>
    <w:next w:val="733"/>
    <w:uiPriority w:val="39"/>
    <w:unhideWhenUsed/>
    <w:pPr>
      <w:ind w:left="283" w:right="0" w:firstLine="0"/>
      <w:spacing w:after="57"/>
    </w:pPr>
  </w:style>
  <w:style w:type="paragraph" w:styleId="906">
    <w:name w:val="toc 3"/>
    <w:basedOn w:val="733"/>
    <w:next w:val="733"/>
    <w:uiPriority w:val="39"/>
    <w:unhideWhenUsed/>
    <w:pPr>
      <w:ind w:left="567" w:right="0" w:firstLine="0"/>
      <w:spacing w:after="57"/>
    </w:pPr>
  </w:style>
  <w:style w:type="paragraph" w:styleId="907">
    <w:name w:val="toc 4"/>
    <w:basedOn w:val="733"/>
    <w:next w:val="733"/>
    <w:uiPriority w:val="39"/>
    <w:unhideWhenUsed/>
    <w:pPr>
      <w:ind w:left="850" w:right="0" w:firstLine="0"/>
      <w:spacing w:after="57"/>
    </w:pPr>
  </w:style>
  <w:style w:type="paragraph" w:styleId="908">
    <w:name w:val="toc 5"/>
    <w:basedOn w:val="733"/>
    <w:next w:val="733"/>
    <w:uiPriority w:val="39"/>
    <w:unhideWhenUsed/>
    <w:pPr>
      <w:ind w:left="1134" w:right="0" w:firstLine="0"/>
      <w:spacing w:after="57"/>
    </w:pPr>
  </w:style>
  <w:style w:type="paragraph" w:styleId="909">
    <w:name w:val="toc 6"/>
    <w:basedOn w:val="733"/>
    <w:next w:val="733"/>
    <w:uiPriority w:val="39"/>
    <w:unhideWhenUsed/>
    <w:pPr>
      <w:ind w:left="1417" w:right="0" w:firstLine="0"/>
      <w:spacing w:after="57"/>
    </w:pPr>
  </w:style>
  <w:style w:type="paragraph" w:styleId="910">
    <w:name w:val="toc 7"/>
    <w:basedOn w:val="733"/>
    <w:next w:val="733"/>
    <w:uiPriority w:val="39"/>
    <w:unhideWhenUsed/>
    <w:pPr>
      <w:ind w:left="1701" w:right="0" w:firstLine="0"/>
      <w:spacing w:after="57"/>
    </w:pPr>
  </w:style>
  <w:style w:type="paragraph" w:styleId="911">
    <w:name w:val="toc 8"/>
    <w:basedOn w:val="733"/>
    <w:next w:val="733"/>
    <w:uiPriority w:val="39"/>
    <w:unhideWhenUsed/>
    <w:pPr>
      <w:ind w:left="1984" w:right="0" w:firstLine="0"/>
      <w:spacing w:after="57"/>
    </w:pPr>
  </w:style>
  <w:style w:type="paragraph" w:styleId="912">
    <w:name w:val="toc 9"/>
    <w:basedOn w:val="733"/>
    <w:next w:val="733"/>
    <w:uiPriority w:val="39"/>
    <w:unhideWhenUsed/>
    <w:pPr>
      <w:ind w:left="2268" w:right="0" w:firstLine="0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733"/>
    <w:next w:val="733"/>
    <w:uiPriority w:val="99"/>
    <w:unhideWhenUsed/>
    <w:pPr>
      <w:spacing w:after="0" w:afterAutospacing="0"/>
    </w:pPr>
  </w:style>
  <w:style w:type="paragraph" w:styleId="915">
    <w:name w:val="Header 45d5d1096f102d804d44239a2e88db20"/>
    <w:basedOn w:val="930"/>
    <w:link w:val="9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16">
    <w:name w:val="Header Char 45d5d1096f102d804d44239a2e88db20"/>
    <w:link w:val="915"/>
    <w:uiPriority w:val="99"/>
  </w:style>
  <w:style w:type="paragraph" w:styleId="917">
    <w:name w:val="Footer 45d5d1096f102d804d44239a2e88db20"/>
    <w:basedOn w:val="930"/>
    <w:link w:val="91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918">
    <w:name w:val="Footer Char 45d5d1096f102d804d44239a2e88db20"/>
    <w:link w:val="917"/>
    <w:uiPriority w:val="99"/>
  </w:style>
  <w:style w:type="character" w:styleId="919">
    <w:name w:val="Caption Char 45d5d1096f102d804d44239a2e88db20"/>
    <w:link w:val="917"/>
    <w:uiPriority w:val="99"/>
  </w:style>
  <w:style w:type="character" w:styleId="920">
    <w:name w:val="Hyperlink 45d5d1096f102d804d44239a2e88db20"/>
    <w:uiPriority w:val="99"/>
    <w:unhideWhenUsed/>
    <w:rPr>
      <w:color w:val="0000FF" w:themeColor="hyperlink"/>
      <w:u w:val="single"/>
    </w:rPr>
  </w:style>
  <w:style w:type="paragraph" w:styleId="921">
    <w:name w:val="toc 1 45d5d1096f102d804d44239a2e88db20"/>
    <w:basedOn w:val="930"/>
    <w:uiPriority w:val="39"/>
    <w:unhideWhenUsed/>
    <w:pPr>
      <w:ind w:left="0" w:right="0" w:firstLine="0"/>
      <w:spacing w:after="57"/>
    </w:pPr>
  </w:style>
  <w:style w:type="paragraph" w:styleId="922">
    <w:name w:val="toc 2 45d5d1096f102d804d44239a2e88db20"/>
    <w:basedOn w:val="930"/>
    <w:uiPriority w:val="39"/>
    <w:unhideWhenUsed/>
    <w:pPr>
      <w:ind w:left="283" w:right="0" w:firstLine="0"/>
      <w:spacing w:after="57"/>
    </w:pPr>
  </w:style>
  <w:style w:type="paragraph" w:styleId="923">
    <w:name w:val="toc 3 45d5d1096f102d804d44239a2e88db20"/>
    <w:basedOn w:val="930"/>
    <w:uiPriority w:val="39"/>
    <w:unhideWhenUsed/>
    <w:pPr>
      <w:ind w:left="567" w:right="0" w:firstLine="0"/>
      <w:spacing w:after="57"/>
    </w:pPr>
  </w:style>
  <w:style w:type="paragraph" w:styleId="924">
    <w:name w:val="toc 4 45d5d1096f102d804d44239a2e88db20"/>
    <w:basedOn w:val="930"/>
    <w:uiPriority w:val="39"/>
    <w:unhideWhenUsed/>
    <w:pPr>
      <w:ind w:left="850" w:right="0" w:firstLine="0"/>
      <w:spacing w:after="57"/>
    </w:pPr>
  </w:style>
  <w:style w:type="paragraph" w:styleId="925">
    <w:name w:val="toc 5 45d5d1096f102d804d44239a2e88db20"/>
    <w:basedOn w:val="930"/>
    <w:uiPriority w:val="39"/>
    <w:unhideWhenUsed/>
    <w:pPr>
      <w:ind w:left="1134" w:right="0" w:firstLine="0"/>
      <w:spacing w:after="57"/>
    </w:pPr>
  </w:style>
  <w:style w:type="paragraph" w:styleId="926">
    <w:name w:val="toc 6 45d5d1096f102d804d44239a2e88db20"/>
    <w:basedOn w:val="930"/>
    <w:uiPriority w:val="39"/>
    <w:unhideWhenUsed/>
    <w:pPr>
      <w:ind w:left="1417" w:right="0" w:firstLine="0"/>
      <w:spacing w:after="57"/>
    </w:pPr>
  </w:style>
  <w:style w:type="paragraph" w:styleId="927">
    <w:name w:val="toc 7 45d5d1096f102d804d44239a2e88db20"/>
    <w:basedOn w:val="930"/>
    <w:uiPriority w:val="39"/>
    <w:unhideWhenUsed/>
    <w:pPr>
      <w:ind w:left="1701" w:right="0" w:firstLine="0"/>
      <w:spacing w:after="57"/>
    </w:pPr>
  </w:style>
  <w:style w:type="paragraph" w:styleId="928">
    <w:name w:val="toc 8 45d5d1096f102d804d44239a2e88db20"/>
    <w:basedOn w:val="930"/>
    <w:uiPriority w:val="39"/>
    <w:unhideWhenUsed/>
    <w:pPr>
      <w:ind w:left="1984" w:right="0" w:firstLine="0"/>
      <w:spacing w:after="57"/>
    </w:pPr>
  </w:style>
  <w:style w:type="paragraph" w:styleId="929">
    <w:name w:val="toc 9 45d5d1096f102d804d44239a2e88db20"/>
    <w:basedOn w:val="930"/>
    <w:uiPriority w:val="39"/>
    <w:unhideWhenUsed/>
    <w:pPr>
      <w:ind w:left="2268" w:right="0" w:firstLine="0"/>
      <w:spacing w:after="57"/>
    </w:pPr>
  </w:style>
  <w:style w:type="paragraph" w:styleId="930" w:default="1">
    <w:name w:val="Normal 45d5d1096f102d804d44239a2e88db20"/>
    <w:qFormat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31" w:default="1">
    <w:name w:val="Default Paragraph Font 45d5d1096f102d804d44239a2e88db20"/>
    <w:uiPriority w:val="1"/>
    <w:semiHidden/>
    <w:unhideWhenUsed/>
  </w:style>
  <w:style w:type="numbering" w:styleId="932" w:default="1">
    <w:name w:val="No List 45d5d1096f102d804d44239a2e88db20"/>
    <w:uiPriority w:val="99"/>
    <w:semiHidden/>
    <w:unhideWhenUsed/>
  </w:style>
  <w:style w:type="table" w:styleId="933" w:default="1">
    <w:name w:val="Normal Table 45d5d1096f102d804d44239a2e88db20"/>
    <w:uiPriority w:val="99"/>
    <w:semiHidden/>
    <w:unhideWhenUsed/>
    <w:tblPr/>
  </w:style>
  <w:style w:type="paragraph" w:styleId="934" w:customStyle="1">
    <w:name w:val="List Paragraph e8cfb2bf4273736e02bcc88a1c7c3969 129078a5d83dcb191c4015536d2b7ccb 45d5d1096f102d804d44239a2e88db20"/>
    <w:uiPriority w:val="34"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cs="Mangal" w:eastAsia="SimSun"/>
      <w:b w:val="0"/>
      <w:bCs w:val="0"/>
      <w:i w:val="0"/>
      <w:iCs w:val="0"/>
      <w:caps w:val="0"/>
      <w:smallCaps w:val="0"/>
      <w:strike w:val="false"/>
      <w:vanish w:val="false"/>
      <w:color w:val="auto"/>
      <w:spacing w:val="0"/>
      <w:position w:val="0"/>
      <w:sz w:val="24"/>
      <w:szCs w:val="21"/>
      <w:highlight w:val="none"/>
      <w:u w:val="none"/>
      <w:vertAlign w:val="baseline"/>
      <w:rtl w:val="false"/>
      <w:cs w:val="false"/>
      <w:lang w:val="it-IT" w:bidi="hi-IN" w:eastAsia="zh-CN"/>
    </w:rPr>
  </w:style>
  <w:style w:type="character" w:styleId="935">
    <w:name w:val="Hyperlink a017c76d6d7fd910d4fcddfca45b878c"/>
    <w:uiPriority w:val="99"/>
    <w:unhideWhenUsed/>
    <w:rPr>
      <w:color w:val="0000FF" w:themeColor="hyperlink"/>
      <w:u w:val="single"/>
    </w:rPr>
  </w:style>
  <w:style w:type="paragraph" w:styleId="936">
    <w:name w:val="toc 1 a017c76d6d7fd910d4fcddfca45b878c"/>
    <w:basedOn w:val="945"/>
    <w:uiPriority w:val="39"/>
    <w:unhideWhenUsed/>
    <w:pPr>
      <w:ind w:left="0" w:right="0" w:firstLine="0"/>
      <w:spacing w:after="57"/>
    </w:pPr>
  </w:style>
  <w:style w:type="paragraph" w:styleId="937">
    <w:name w:val="toc 2 a017c76d6d7fd910d4fcddfca45b878c"/>
    <w:basedOn w:val="945"/>
    <w:uiPriority w:val="39"/>
    <w:unhideWhenUsed/>
    <w:pPr>
      <w:ind w:left="283" w:right="0" w:firstLine="0"/>
      <w:spacing w:after="57"/>
    </w:pPr>
  </w:style>
  <w:style w:type="paragraph" w:styleId="938">
    <w:name w:val="toc 3 a017c76d6d7fd910d4fcddfca45b878c"/>
    <w:basedOn w:val="945"/>
    <w:uiPriority w:val="39"/>
    <w:unhideWhenUsed/>
    <w:pPr>
      <w:ind w:left="567" w:right="0" w:firstLine="0"/>
      <w:spacing w:after="57"/>
    </w:pPr>
  </w:style>
  <w:style w:type="paragraph" w:styleId="939">
    <w:name w:val="toc 4 a017c76d6d7fd910d4fcddfca45b878c"/>
    <w:basedOn w:val="945"/>
    <w:uiPriority w:val="39"/>
    <w:unhideWhenUsed/>
    <w:pPr>
      <w:ind w:left="850" w:right="0" w:firstLine="0"/>
      <w:spacing w:after="57"/>
    </w:pPr>
  </w:style>
  <w:style w:type="paragraph" w:styleId="940">
    <w:name w:val="toc 5 a017c76d6d7fd910d4fcddfca45b878c"/>
    <w:basedOn w:val="945"/>
    <w:uiPriority w:val="39"/>
    <w:unhideWhenUsed/>
    <w:pPr>
      <w:ind w:left="1134" w:right="0" w:firstLine="0"/>
      <w:spacing w:after="57"/>
    </w:pPr>
  </w:style>
  <w:style w:type="paragraph" w:styleId="941">
    <w:name w:val="toc 6 a017c76d6d7fd910d4fcddfca45b878c"/>
    <w:basedOn w:val="945"/>
    <w:uiPriority w:val="39"/>
    <w:unhideWhenUsed/>
    <w:pPr>
      <w:ind w:left="1417" w:right="0" w:firstLine="0"/>
      <w:spacing w:after="57"/>
    </w:pPr>
  </w:style>
  <w:style w:type="paragraph" w:styleId="942">
    <w:name w:val="toc 7 a017c76d6d7fd910d4fcddfca45b878c"/>
    <w:basedOn w:val="945"/>
    <w:uiPriority w:val="39"/>
    <w:unhideWhenUsed/>
    <w:pPr>
      <w:ind w:left="1701" w:right="0" w:firstLine="0"/>
      <w:spacing w:after="57"/>
    </w:pPr>
  </w:style>
  <w:style w:type="paragraph" w:styleId="943">
    <w:name w:val="toc 8 a017c76d6d7fd910d4fcddfca45b878c"/>
    <w:basedOn w:val="945"/>
    <w:uiPriority w:val="39"/>
    <w:unhideWhenUsed/>
    <w:pPr>
      <w:ind w:left="1984" w:right="0" w:firstLine="0"/>
      <w:spacing w:after="57"/>
    </w:pPr>
  </w:style>
  <w:style w:type="paragraph" w:styleId="944">
    <w:name w:val="toc 9 a017c76d6d7fd910d4fcddfca45b878c"/>
    <w:basedOn w:val="945"/>
    <w:uiPriority w:val="39"/>
    <w:unhideWhenUsed/>
    <w:pPr>
      <w:ind w:left="2268" w:right="0" w:firstLine="0"/>
      <w:spacing w:after="57"/>
    </w:pPr>
  </w:style>
  <w:style w:type="paragraph" w:styleId="945">
    <w:name w:val="Normal a017c76d6d7fd910d4fcddfca45b878c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46">
    <w:name w:val="Default Paragraph Font a017c76d6d7fd910d4fcddfca45b878c"/>
    <w:uiPriority w:val="1"/>
    <w:semiHidden/>
    <w:unhideWhenUsed/>
  </w:style>
  <w:style w:type="numbering" w:styleId="947">
    <w:name w:val="No List a017c76d6d7fd910d4fcddfca45b878c"/>
    <w:uiPriority w:val="99"/>
    <w:semiHidden/>
    <w:unhideWhenUsed/>
  </w:style>
  <w:style w:type="table" w:styleId="948">
    <w:name w:val="Normal Table a017c76d6d7fd910d4fcddfca45b878c"/>
    <w:uiPriority w:val="99"/>
    <w:semiHidden/>
    <w:unhideWhenUsed/>
    <w:tblPr/>
  </w:style>
  <w:style w:type="character" w:styleId="949">
    <w:name w:val="Hyperlink 2783d6a4ac8133aabee7d12714034e66"/>
    <w:uiPriority w:val="99"/>
    <w:unhideWhenUsed/>
    <w:rPr>
      <w:color w:val="0000FF" w:themeColor="hyperlink"/>
      <w:u w:val="single"/>
    </w:rPr>
  </w:style>
  <w:style w:type="paragraph" w:styleId="950">
    <w:name w:val="toc 1 2783d6a4ac8133aabee7d12714034e66"/>
    <w:basedOn w:val="959"/>
    <w:uiPriority w:val="39"/>
    <w:unhideWhenUsed/>
    <w:pPr>
      <w:ind w:left="0" w:right="0" w:firstLine="0"/>
      <w:spacing w:after="57"/>
    </w:pPr>
  </w:style>
  <w:style w:type="paragraph" w:styleId="951">
    <w:name w:val="toc 2 2783d6a4ac8133aabee7d12714034e66"/>
    <w:basedOn w:val="959"/>
    <w:uiPriority w:val="39"/>
    <w:unhideWhenUsed/>
    <w:pPr>
      <w:ind w:left="283" w:right="0" w:firstLine="0"/>
      <w:spacing w:after="57"/>
    </w:pPr>
  </w:style>
  <w:style w:type="paragraph" w:styleId="952">
    <w:name w:val="toc 3 2783d6a4ac8133aabee7d12714034e66"/>
    <w:basedOn w:val="959"/>
    <w:uiPriority w:val="39"/>
    <w:unhideWhenUsed/>
    <w:pPr>
      <w:ind w:left="567" w:right="0" w:firstLine="0"/>
      <w:spacing w:after="57"/>
    </w:pPr>
  </w:style>
  <w:style w:type="paragraph" w:styleId="953">
    <w:name w:val="toc 4 2783d6a4ac8133aabee7d12714034e66"/>
    <w:basedOn w:val="959"/>
    <w:uiPriority w:val="39"/>
    <w:unhideWhenUsed/>
    <w:pPr>
      <w:ind w:left="850" w:right="0" w:firstLine="0"/>
      <w:spacing w:after="57"/>
    </w:pPr>
  </w:style>
  <w:style w:type="paragraph" w:styleId="954">
    <w:name w:val="toc 5 2783d6a4ac8133aabee7d12714034e66"/>
    <w:basedOn w:val="959"/>
    <w:uiPriority w:val="39"/>
    <w:unhideWhenUsed/>
    <w:pPr>
      <w:ind w:left="1134" w:right="0" w:firstLine="0"/>
      <w:spacing w:after="57"/>
    </w:pPr>
  </w:style>
  <w:style w:type="paragraph" w:styleId="955">
    <w:name w:val="toc 6 2783d6a4ac8133aabee7d12714034e66"/>
    <w:basedOn w:val="959"/>
    <w:uiPriority w:val="39"/>
    <w:unhideWhenUsed/>
    <w:pPr>
      <w:ind w:left="1417" w:right="0" w:firstLine="0"/>
      <w:spacing w:after="57"/>
    </w:pPr>
  </w:style>
  <w:style w:type="paragraph" w:styleId="956">
    <w:name w:val="toc 7 2783d6a4ac8133aabee7d12714034e66"/>
    <w:basedOn w:val="959"/>
    <w:uiPriority w:val="39"/>
    <w:unhideWhenUsed/>
    <w:pPr>
      <w:ind w:left="1701" w:right="0" w:firstLine="0"/>
      <w:spacing w:after="57"/>
    </w:pPr>
  </w:style>
  <w:style w:type="paragraph" w:styleId="957">
    <w:name w:val="toc 8 2783d6a4ac8133aabee7d12714034e66"/>
    <w:basedOn w:val="959"/>
    <w:uiPriority w:val="39"/>
    <w:unhideWhenUsed/>
    <w:pPr>
      <w:ind w:left="1984" w:right="0" w:firstLine="0"/>
      <w:spacing w:after="57"/>
    </w:pPr>
  </w:style>
  <w:style w:type="paragraph" w:styleId="958">
    <w:name w:val="toc 9 2783d6a4ac8133aabee7d12714034e66"/>
    <w:basedOn w:val="959"/>
    <w:uiPriority w:val="39"/>
    <w:unhideWhenUsed/>
    <w:pPr>
      <w:ind w:left="2268" w:right="0" w:firstLine="0"/>
      <w:spacing w:after="57"/>
    </w:pPr>
  </w:style>
  <w:style w:type="paragraph" w:styleId="959">
    <w:name w:val="Normal 2783d6a4ac8133aabee7d12714034e66"/>
    <w:pPr>
      <w:widowControl w:val="off"/>
    </w:pPr>
    <w:rPr>
      <w:rFonts w:ascii="Liberation Serif" w:hAnsi="Liberation Serif" w:cs="Mangal" w:eastAsia="SimSun"/>
      <w:color w:val="auto"/>
      <w:sz w:val="24"/>
      <w:szCs w:val="24"/>
      <w:lang w:val="it-IT" w:bidi="hi-IN" w:eastAsia="zh-CN"/>
    </w:rPr>
  </w:style>
  <w:style w:type="character" w:styleId="960">
    <w:name w:val="Default Paragraph Font 2783d6a4ac8133aabee7d12714034e66"/>
    <w:uiPriority w:val="1"/>
    <w:semiHidden/>
    <w:unhideWhenUsed/>
  </w:style>
  <w:style w:type="numbering" w:styleId="961">
    <w:name w:val="No List 2783d6a4ac8133aabee7d12714034e66"/>
    <w:uiPriority w:val="99"/>
    <w:semiHidden/>
    <w:unhideWhenUsed/>
  </w:style>
  <w:style w:type="table" w:styleId="962">
    <w:name w:val="Normal Table 2783d6a4ac8133aabee7d12714034e66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ONLYOFFICE/7.1.1.23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language>it-IT</dc:language>
  <cp:lastModifiedBy>s.burghiani</cp:lastModifiedBy>
  <cp:revision>19</cp:revision>
  <dcterms:created xsi:type="dcterms:W3CDTF">2016-01-21T15:36:37Z</dcterms:created>
  <dcterms:modified xsi:type="dcterms:W3CDTF">2026-10-28T10:28:10Z</dcterms:modified>
</cp:coreProperties>
</file>