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1219 del </w:t>
      </w:r>
      <w:r>
        <w:rPr>
          <w:rFonts w:ascii="Arial" w:hAnsi="Arial" w:cs="Arial" w:eastAsia="Arial"/>
          <w:b/>
          <w:sz w:val="24"/>
          <w:lang w:eastAsia="it-IT"/>
        </w:rPr>
        <w:t xml:space="preserve">15/10/2026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NOMINA DI UN RAPPRESENTANTE DEL CONSIGLIO COMUNALE IN SENO AL CONSIGLIO DI AMMINISTRAZIONE DELL'ISTITUTO CAMPANA PER L'ISTRUZIONE PERMANENTE.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761"/>
      </w:pPr>
      <w:r/>
      <w:r/>
    </w:p>
    <w:p>
      <w:pPr>
        <w:jc w:val="center"/>
        <w:rPr>
          <w:rFonts w:ascii="Arial" w:hAnsi="Arial" w:cs="Arial" w:eastAsia="Arial"/>
          <w:b/>
          <w:sz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746"/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Times New Roman" w:hAnsi="Times New Roman" w:cs="Times New Roman" w:eastAsia="Times New Roman"/>
          <w:highlight w:val="none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bCs/>
          <w:sz w:val="24"/>
          <w:szCs w:val="24"/>
          <w:highlight w:val="none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  <w:b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Premesso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che ai sensi dell’art. 3 del vigente Statuto dell’Istituto Campana per l’Istruzione Permanente - ente morale con sede in Osimo, con funzioni di istruzione, alta formazione e cultura - l’amministrazione dell’Istituto è affidata ad un Consiglio di Amministra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zione, composto, fra l’altro, da n.3 rappresentanti del Comune di Osimo eletti dal Consiglio Comunale, di cui 1 in rappresentanza della minoranza;</w:t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che il Consiglio di Amministrazione viene nominato - una volta acquisite le varie designazioni da parte degli enti competenti - con decreto del Direttore Generale dell’Ufficio Scolastico Regionale delle Marche, e da tale decreto di nomina decorre il suo in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carico con durata quinquennale (art.5 Statuto);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che il precedente Consiglio di Amministrazione, nominato con decreto del Direttore Generale dell’Ufficio Scolastico Regionale delle Marche n.376/2021, sulla base delle designazioni pervenute da parte degli enti competenti, è giunto a scadenza in data 25 Ap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rile 2026;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Richiamata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 deliberazione di C.C. n. 47 adottata nella seduta consiliare del 2 Luglio 2026, con la quale si è proceduto ad eleggere i tre componenti del Consiglio di Amministrazione del suddetto ente, per il prossimo quinquennio, nelle persone di: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EDOARDO CINTIOLI</w:t>
        <w:tab/>
        <w:t xml:space="preserve">in rappresentanza della maggioranza consiliare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SERGIO FORIA</w:t>
        <w:tab/>
        <w:tab/>
        <w:t xml:space="preserve">in rappresentanza della maggioranza consiliare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LIANA CHIAPPA</w:t>
        <w:tab/>
        <w:tab/>
        <w:t xml:space="preserve">in rappresentanza della minoranza consiliare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Dato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atto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che le designazioni sono state comunicate con nota prot.n. 23202 del 04.07.2026 al Direttore Generale dell’Ufficio Scolastico Regionale, all’Istituto Campana per l’Istruzione Permanente  e ai tre componenti designati;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highlight w:val="none"/>
        </w:rPr>
        <w:t xml:space="preserve">Richiamata,</w:t>
      </w:r>
      <w:r>
        <w:rPr>
          <w:rFonts w:ascii="Times New Roman" w:hAnsi="Times New Roman" w:cs="Times New Roman" w:eastAsia="Times New Roman"/>
          <w:highlight w:val="none"/>
        </w:rPr>
        <w:t xml:space="preserve"> altresì, la deliberazione C.C. n. 51 adottata nella se</w:t>
      </w:r>
      <w:r>
        <w:rPr>
          <w:rFonts w:ascii="Times New Roman" w:hAnsi="Times New Roman" w:cs="Times New Roman" w:eastAsia="Times New Roman"/>
          <w:highlight w:val="none"/>
        </w:rPr>
        <w:t xml:space="preserve">duta consiliare del 13 Luglio 2026, con la quale, a seguito della non accettazione dell’incarico da parte del componente designato in rappresentanza della maggioranza consiliare Sig. Sergio Foria, si è proceduto a sua sostituzione con il Sig. Luigi Giacco;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highlight w:val="none"/>
        </w:rPr>
      </w:r>
      <w:r>
        <w:rPr>
          <w:rFonts w:ascii="Times New Roman" w:hAnsi="Times New Roman" w:cs="Times New Roman" w:eastAsia="Times New Roman"/>
          <w:highlight w:val="none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Dato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atto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che l’ulteriore designazione è stata comunicata con nota prot.n. 24563 del 15.07.2026 al Direttore Generale dell’Ufficio Scolastico Regionale, all’Istituto Campana per l’Istruzione Permanente  e al componente designato;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highlight w:val="none"/>
        </w:rPr>
      </w:r>
      <w:r>
        <w:rPr>
          <w:rFonts w:ascii="Times New Roman" w:hAnsi="Times New Roman" w:cs="Times New Roman" w:eastAsia="Times New Roman"/>
          <w:highlight w:val="none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highlight w:val="none"/>
        </w:rPr>
        <w:t xml:space="preserve">      </w:t>
      </w:r>
      <w:r>
        <w:rPr>
          <w:rFonts w:ascii="Times New Roman" w:hAnsi="Times New Roman" w:cs="Times New Roman" w:eastAsia="Times New Roman"/>
          <w:b/>
          <w:highlight w:val="none"/>
        </w:rPr>
        <w:t xml:space="preserve">Visto</w:t>
      </w:r>
      <w:r>
        <w:rPr>
          <w:rFonts w:ascii="Times New Roman" w:hAnsi="Times New Roman" w:cs="Times New Roman" w:eastAsia="Times New Roman"/>
          <w:highlight w:val="none"/>
        </w:rPr>
        <w:t xml:space="preserve"> </w:t>
      </w:r>
      <w:r>
        <w:rPr>
          <w:rFonts w:ascii="Times New Roman" w:hAnsi="Times New Roman" w:cs="Times New Roman" w:eastAsia="Times New Roman"/>
        </w:rPr>
        <w:t xml:space="preserve"> </w:t>
      </w:r>
      <w:r>
        <w:rPr>
          <w:rFonts w:ascii="Times New Roman" w:hAnsi="Times New Roman" w:cs="Times New Roman" w:eastAsia="Times New Roman"/>
        </w:rPr>
        <w:t xml:space="preserve">il Decreto direttoriale m_pi.AOODRMA.0001410 del 22 luglio 2026, trasmesso dal Ufficio Scolastico Regionale per le Marche, con il quale è stato nominato il nuovo Consiglio di Amministrazione dell’Istituto per il quinquennio 23 luglio 2026 – 22 luglio 2031;</w:t>
      </w:r>
      <w:r>
        <w:rPr>
          <w:rFonts w:ascii="Times New Roman" w:hAnsi="Times New Roman" w:cs="Times New Roman" w:eastAsia="Times New Roman"/>
          <w:highlight w:val="none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  <w:i w:val="0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highlight w:val="none"/>
        </w:rPr>
        <w:tab/>
      </w:r>
      <w:r>
        <w:rPr>
          <w:rFonts w:ascii="Times New Roman" w:hAnsi="Times New Roman" w:cs="Times New Roman" w:eastAsia="Times New Roman"/>
          <w:b/>
          <w:highlight w:val="none"/>
        </w:rPr>
        <w:t xml:space="preserve">Considerato</w:t>
      </w:r>
      <w:r>
        <w:rPr>
          <w:rFonts w:ascii="Times New Roman" w:hAnsi="Times New Roman" w:cs="Times New Roman" w:eastAsia="Times New Roman"/>
          <w:highlight w:val="none"/>
        </w:rPr>
        <w:t xml:space="preserve"> che il Tribunale Regionale per le Marche, con propria sentenza n. 01136/2026 - notificata all’ente con nota acquisita al protocollo comunale in data 15.10.2026 n. 36278 – in accoglimento del ricorso numero di registro generale 634 del 2026, proposto dai</w:t>
      </w:r>
      <w:r>
        <w:rPr>
          <w:rFonts w:ascii="Times New Roman" w:hAnsi="Times New Roman" w:cs="Times New Roman" w:eastAsia="Times New Roman"/>
          <w:highlight w:val="none"/>
        </w:rPr>
        <w:t xml:space="preserve"> Consiglieri Comunali Sandro Antonelli, Mauro Calcaterra, Giorgio Magi, Graziano Palazzini, Francesco Pirani, Matteo Sabbatini, Michela Staffolani, Paolo Strappato e Lorita Taddei,  ha disposto l’annullamento della deliberazione C.C. n.47 del 2 Luglio 2026</w:t>
      </w:r>
      <w:r>
        <w:rPr>
          <w:rFonts w:ascii="Times New Roman" w:hAnsi="Times New Roman" w:cs="Times New Roman" w:eastAsia="Times New Roman"/>
          <w:i/>
          <w:highlight w:val="none"/>
        </w:rPr>
        <w:t xml:space="preserve"> “nella parte in cui ha nominato la sig.ra Liana Chiappa quale rappresentate della minoranza consiliare” </w:t>
      </w:r>
      <w:r>
        <w:rPr>
          <w:rFonts w:ascii="Times New Roman" w:hAnsi="Times New Roman" w:cs="Times New Roman" w:eastAsia="Times New Roman"/>
          <w:i w:val="0"/>
          <w:color w:val="000000" w:themeColor="text1"/>
          <w:highlight w:val="none"/>
        </w:rPr>
        <w:t xml:space="preserve">;</w:t>
      </w:r>
      <w:r>
        <w:rPr>
          <w:i w:val="0"/>
          <w:color w:val="000000" w:themeColor="text1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Dato atto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che occorre, pertant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o, ripetere l’elezione da parte del Consiglio comunale del componente del Consiglio di Amministrazione dell’Istituto Campana per l’Istruzione Permanente, in rappresentanza della minoranza consiliare;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Richiamato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l’art.42, comma 2 lettera m) del D.Lgs. n.267/2000 che prevede tra le competenze del Consiglio Comunale: "la definizione degli indirizzi per la nomina e la designazione dei rappresentanti del comune presso enti, aziende ed istituzioni, nonché la nomina de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 rappresentanti del consiglio presso enti, aziende ed istituzioni ad esso espressamente riservata dalla legge";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Richiamato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il proprio atto n.10 del 20.06.2025 con il quale sono stati definiti gli indirizzi per la nomina, la revoca e la designazione dei rappresentati del Comune presso Enti, Aziende ed Istituzioni e in particolare gli indirizzi per le nomine di competenza del C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onsiglio Comunale, che di seguito si riportano: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36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NOMINA DI RAPPRESENTANTI DEL CONSIGLIO COMUNALE PRESSO ENTI, SOCIETA’, AZIENDE ED ISTITUZIONI 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(Nomina di competenza del Consiglio)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Le nomine e le designazioni dei rappresentanti del Consiglio Comunale presso Enti, Società, Aziende ed Istituzioni devono essere effettuate tenendo conto delle competenze e delle professionalità dei soggetti interessati.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Per essere nominati o designati rappresentati del Consiglio Comunale presso Enti, Società,</w:t>
      </w:r>
      <w:r>
        <w:rPr>
          <w:rFonts w:ascii="Times New Roman" w:hAnsi="Times New Roman" w:cs="Times New Roman" w:eastAsia="Times New Roman"/>
          <w:b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 Aziende ed Istituzioni, gli interessati dovranno</w:t>
      </w:r>
      <w:r>
        <w:rPr>
          <w:rFonts w:ascii="Times New Roman" w:hAnsi="Times New Roman" w:cs="Times New Roman" w:eastAsia="Times New Roman"/>
          <w:color w:val="000000"/>
          <w:sz w:val="22"/>
        </w:rPr>
        <w:t xml:space="preserve">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1)      possedere i requisiti richiesti per la elezione alla carica di consigliere comunale e comunque non incorrere in alcuna delle cause di inconferibilità, incompatibilità ed ineleggibilità indicate dal D. Lgs. n.267/2000 e ss.mm.ii., dal D.Lgs.n.235/20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12 e ss.mm.ii. e dal D.Lgs.n.39/2013 e ss.mm.ii.;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2)     possedere una competenza tecnica e/o amministrativa, in relazione all’incarico da ricoprire, per effetto di studi compiuti, esperienze lavorative o uffici pubblici ricoperti documentata con adeguato curriculum;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3)      non essere in rapporto di parentela (ascendenti, discendenti) di coniugio ed affinità fino al terzo grado con il Sindaco, con gli Assessori e coi Consiglieri Comunali.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4)      non essere stati condannati per reati compiuti nell’esercizio di pubbliche funzioni o</w:t>
      </w:r>
      <w:r>
        <w:rPr>
          <w:rFonts w:ascii="Times New Roman" w:hAnsi="Times New Roman" w:cs="Times New Roman" w:eastAsia="Times New Roman"/>
          <w:b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nell’espletamento di mandati come amministratori di organismi partecipati da Amministrazioni pubbliche.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5)      non essere soci o amministratori di società esercenti attività concorrenti, complementari o affini a quelle degli Enti, Società, Aziende ed Istituzioni a cui si riferiscono le nomine, né di società a quelle collegate, né di società controllanti o c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ontrollate;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6)      non esercitare in proprio o per conto terzi le attività di cui al precedente punto 5.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7)      non svolgere attività professionali né intrattenere rapporti imprenditoriali incompatibili o in conflitto di interessi con il Comune o organismi partecipati, nei quali dovrebbero essere designati e nominati amministratori;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8)      non aver svolto il medesimo incarico per due mandati consecutivi. 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9)      non aver ricoperto incarichi amministrativi in enti, istituzioni, aziende pubbliche e società a (totale o parziale) capitale pubblico, che abbiano chiuso in perdita per tre esercizi consecutivi, a meno che la perdita risulti conforme alla programma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zione gestionale regolarmente approvata.</w:t>
      </w:r>
      <w:r>
        <w:rPr>
          <w:rFonts w:ascii="Times New Roman" w:hAnsi="Times New Roman" w:cs="Times New Roman" w:eastAsia="Times New Roman"/>
        </w:rPr>
      </w:r>
      <w:r/>
    </w:p>
    <w:p>
      <w:pPr>
        <w:ind w:left="720" w:right="0" w:hanging="36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10)  per gli incarichi non apicali inerenti enti o associazioni aventi finalità essenzialmente culturali, ricreative, sportive o relative a tematiche giovanili, dimostrare una personale, certa e comprovata vocazione.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In ogni caso tutte le nomine verranno fatte, nel rispetto del principio di pari opportunità tra donne ed uomini a garanzia di una presenza equilibrata di entrambi i sessi, tenendo conto sia dei requisiti morali degli interessati, sia dell’esperienza specif</w:t>
      </w: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ica e della competenza nel settore nel quale opera l’organismo per il quale il soggetto può essere nominato amministratore, nonché della disponibilità dei medesimi a conformare il proprio operato alle direttive del consiglio comunale e del sindaco.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160" w:line="235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2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Acquisito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il seguente parere, ai sensi art.49 del D.Lgs. 267/2000: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Parere favorevole di regolarità tecnica 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Il Segretario Generale Dirigente Dipartimento Affari Generali Dott.ssa Mariarosaria Giorgio;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  <w:t xml:space="preserve">          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Dato atto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che la presente proposta non necessita di parere di regolarità contabile in quanto non comporta riflessi diretti o indiretti sulla situazione economico-finanziaria o sul patrimonio dell’ente;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Udita/e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la/e seguente/i proposta/e di candidatura: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Candidato di minoranza</w:t>
        <w:tab/>
        <w:tab/>
        <w:t xml:space="preserve">Sig./Sig.ra</w:t>
        <w:tab/>
        <w:t xml:space="preserve">___________________________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Candidato di minoranza</w:t>
        <w:tab/>
        <w:tab/>
        <w:t xml:space="preserve">Sig./Sig.ra</w:t>
        <w:tab/>
        <w:t xml:space="preserve">___________________________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______________________</w:t>
        <w:tab/>
        <w:tab/>
        <w:t xml:space="preserve">Sig./Sig.ra</w:t>
        <w:tab/>
        <w:t xml:space="preserve">___________________________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Esperita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 votazione, in ordine al/ai candidato/i componente/i in rappresentanza della </w:t>
      </w:r>
      <w:r>
        <w:rPr>
          <w:rFonts w:ascii="Times New Roman" w:hAnsi="Times New Roman" w:cs="Times New Roman" w:eastAsia="Times New Roman"/>
          <w:color w:val="000000"/>
          <w:sz w:val="24"/>
          <w:u w:val="single"/>
        </w:rPr>
        <w:t xml:space="preserve">mino</w:t>
      </w:r>
      <w:r>
        <w:rPr>
          <w:rFonts w:ascii="Times New Roman" w:hAnsi="Times New Roman" w:cs="Times New Roman" w:eastAsia="Times New Roman"/>
          <w:color w:val="000000"/>
          <w:sz w:val="24"/>
          <w:u w:val="single"/>
        </w:rPr>
        <w:t xml:space="preserve">ra</w:t>
      </w:r>
      <w:r>
        <w:rPr>
          <w:rFonts w:ascii="Times New Roman" w:hAnsi="Times New Roman" w:cs="Times New Roman" w:eastAsia="Times New Roman"/>
          <w:color w:val="000000"/>
          <w:sz w:val="24"/>
          <w:u w:val="single"/>
        </w:rPr>
        <w:t xml:space="preserve">nza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consiliare, con il/i seguente/i esito/i: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Candidata/o</w:t>
        <w:tab/>
        <w:t xml:space="preserve">Sig.ra/Sig.</w:t>
        <w:tab/>
        <w:t xml:space="preserve">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Candidata/o</w:t>
        <w:tab/>
        <w:t xml:space="preserve">Sig.ra/Sig.</w:t>
        <w:tab/>
        <w:t xml:space="preserve">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Preso atto dell’esito della votazione, attestato dal Presidente del Consiglio Comunale, e della conseguente elezione della/del sig.ra/sig. ________________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</w:rPr>
        <w:t xml:space="preserve">Con la seguente votazione, espressa in modalità elettronica, in ordine alla proposta di deliberazione:</w:t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tabs>
          <w:tab w:val="left" w:pos="708" w:leader="none"/>
          <w:tab w:val="left" w:pos="1418" w:leader="none"/>
          <w:tab w:val="left" w:pos="1985" w:leader="none"/>
          <w:tab w:val="left" w:pos="4820" w:leader="none"/>
          <w:tab w:val="left" w:pos="9638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 E L I B E R A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highlight w:val="none"/>
        </w:rPr>
        <w:t xml:space="preserve">Di richiamare la parte narrativa in premessa a far parte integrante e sostanziale del deliberato;</w:t>
      </w:r>
      <w:r>
        <w:rPr>
          <w:b w:val="0"/>
        </w:rPr>
      </w:r>
      <w:r/>
    </w:p>
    <w:p>
      <w:pPr>
        <w:ind w:lef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</w:r>
      <w:r>
        <w:rPr>
          <w:b/>
        </w:rPr>
      </w:r>
      <w:r/>
    </w:p>
    <w:p>
      <w:pPr>
        <w:pStyle w:val="750"/>
        <w:numPr>
          <w:ilvl w:val="0"/>
          <w:numId w:val="1"/>
        </w:numPr>
        <w:ind w:left="0" w:firstLine="0"/>
        <w:jc w:val="both"/>
        <w:spacing w:before="0" w:after="0"/>
        <w:tabs>
          <w:tab w:val="left" w:pos="720" w:leader="none"/>
        </w:tabs>
        <w:rPr>
          <w:b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  <w:t xml:space="preserve">Di prendere atto</w:t>
      </w:r>
      <w:r>
        <w:rPr>
          <w:rFonts w:ascii="Times New Roman" w:hAnsi="Times New Roman" w:cs="Times New Roman" w:eastAsia="Times New Roman"/>
          <w:b w:val="0"/>
          <w:color w:val="000000"/>
          <w:sz w:val="24"/>
          <w:highlight w:val="none"/>
        </w:rPr>
        <w:t xml:space="preserve"> </w:t>
      </w:r>
      <w:r>
        <w:rPr>
          <w:rFonts w:ascii="Times New Roman" w:hAnsi="Times New Roman" w:cs="Times New Roman" w:eastAsia="Times New Roman"/>
          <w:b w:val="0"/>
          <w:color w:val="000000"/>
          <w:sz w:val="24"/>
          <w:highlight w:val="none"/>
        </w:rPr>
        <w:t xml:space="preserve">della</w:t>
      </w:r>
      <w:r>
        <w:rPr>
          <w:rFonts w:ascii="Times New Roman" w:hAnsi="Times New Roman" w:cs="Times New Roman" w:eastAsia="Times New Roman"/>
          <w:b w:val="0"/>
          <w:color w:val="000000"/>
          <w:sz w:val="24"/>
          <w:highlight w:val="none"/>
        </w:rPr>
        <w:t xml:space="preserve"> </w:t>
      </w:r>
      <w:r>
        <w:rPr>
          <w:rFonts w:ascii="Times New Roman" w:hAnsi="Times New Roman" w:cs="Times New Roman" w:eastAsia="Times New Roman"/>
          <w:b w:val="0"/>
          <w:highlight w:val="none"/>
        </w:rPr>
        <w:t xml:space="preserve"> sentenza del Tribunale Amministrativo Regionale per le Marche n. 01136/</w:t>
      </w:r>
      <w:r>
        <w:rPr>
          <w:rFonts w:ascii="Times New Roman" w:hAnsi="Times New Roman" w:cs="Times New Roman" w:eastAsia="Times New Roman"/>
          <w:b w:val="0"/>
          <w:highlight w:val="none"/>
        </w:rPr>
        <w:t xml:space="preserve">2026, di annullamento parziale della propria precedente deliberazione n.47 del 2 Luglio 2026 - notificata all’ente con nota acquisita al protocollo comunale in data 15.10.2026 n. 36278 – in accoglimento d</w:t>
      </w:r>
      <w:r>
        <w:rPr>
          <w:rFonts w:ascii="Times New Roman" w:hAnsi="Times New Roman" w:cs="Times New Roman" w:eastAsia="Times New Roman"/>
          <w:highlight w:val="none"/>
        </w:rPr>
        <w:t xml:space="preserve">el ricorso numero di registro generale 634 del 2026;</w:t>
      </w: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</w:r>
      <w:r/>
    </w:p>
    <w:p>
      <w:pPr>
        <w:pStyle w:val="750"/>
        <w:ind w:lef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</w:r>
      <w:r/>
    </w:p>
    <w:p>
      <w:pPr>
        <w:pStyle w:val="750"/>
        <w:ind w:left="0" w:firstLine="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2.</w:t>
        <w:tab/>
        <w:t xml:space="preserve">Di dare atto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che il soggetto eletto dal Consiglio Comunale, in rappresentanza della minoranza,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presso 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il Consiglio d’Amministrazione dell’Istituto Campana per l’istruzione permanente,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 per il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prossimo quinquennio, 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è la/il 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Sig.ra/Sig.:</w:t>
      </w:r>
      <w:r>
        <w:rPr>
          <w:b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 </w:t>
      </w:r>
      <w:r>
        <w:rPr>
          <w:b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_______________</w:t>
        <w:tab/>
        <w:tab/>
        <w:t xml:space="preserve">rappresentante di minoranza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firstLine="0"/>
        <w:jc w:val="both"/>
        <w:spacing w:before="0" w:after="0"/>
        <w:tabs>
          <w:tab w:val="left" w:pos="720" w:leader="none"/>
        </w:tabs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3.</w:t>
        <w:tab/>
        <w:t xml:space="preserve">Di dare mandato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al Segretario Generale Dirigente Dipartimento Affari Generali affinché curi la trasmissione </w:t>
        <w:tab/>
        <w:t xml:space="preserve">dellapresente designazione all’interessata/o ed all’Istituto, nonché all’Ufficio Scolastico </w:t>
        <w:tab/>
        <w:t xml:space="preserve">Regionale delle Marche per l’emanazione del decreto di nomina.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****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La Presidente del Consiglio Comunale pone quindi a votazione la proposta di rendere il presente atto immediatamente eseguibile onde rendere  operativo l’organo giunto in scadenza.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Pertanto,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IL CONSIGLIO COMUNALE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ab/>
        <w:t xml:space="preserve">Udita la proposta,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votazione, espressa in modalità elettronica: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DELIBERA</w:t>
      </w:r>
      <w:r/>
    </w:p>
    <w:p>
      <w:pPr>
        <w:ind w:left="283" w:right="0" w:hanging="283"/>
        <w:jc w:val="both"/>
        <w:spacing w:before="0" w:after="0"/>
        <w:tabs>
          <w:tab w:val="left" w:pos="28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left"/>
        <w:spacing w:before="0" w:after="0"/>
        <w:tabs>
          <w:tab w:val="left" w:pos="283" w:leader="none"/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4.</w:t>
        <w:tab/>
      </w:r>
      <w:r>
        <w:rPr>
          <w:rFonts w:ascii="Times New Roman" w:hAnsi="Times New Roman" w:cs="Times New Roman" w:eastAsia="Times New Roman"/>
          <w:color w:val="000000"/>
          <w:sz w:val="24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Di rende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</w:t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il presente atto immediatamente eseguibile ai sensi art.134 del T.U.E.L. </w:t>
        <w:tab/>
        <w:tab/>
        <w:tab/>
        <w:tab/>
        <w:t xml:space="preserve">n.267/2000.</w:t>
      </w:r>
      <w:r/>
    </w:p>
    <w:p>
      <w:pPr>
        <w:ind w:left="283" w:right="0" w:hanging="283"/>
        <w:jc w:val="center"/>
        <w:spacing w:before="0" w:after="0"/>
        <w:tabs>
          <w:tab w:val="left" w:pos="28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- - - * * * - - - 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La seduta prosegue con la trattazione del successivo punto all’ordine del giorno.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jc w:val="center"/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/>
    </w:p>
    <w:p>
      <w:pPr>
        <w:jc w:val="both"/>
      </w:pP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A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i sensi dell’art.35 del Regolamento del Consiglio Comunale, le sedute pubbliche del Consiglio Comunale vengono riprese e trasmesse via web e sono integralmente registrate su supporto digitale. Dette registrazioni sono consultabili attraverso il sito Intern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et del Comune.</w:t>
      </w:r>
      <w:r>
        <w:rPr>
          <w:bCs/>
          <w:i/>
          <w:sz w:val="20"/>
          <w:szCs w:val="20"/>
        </w:rPr>
      </w:r>
      <w:r/>
    </w:p>
    <w:p>
      <w:pPr>
        <w:jc w:val="center"/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SimSun">
    <w:panose1 w:val="02020603020101020101"/>
  </w:font>
  <w:font w:name="Mangal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1219 del 15/10/2026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733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775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">
    <w:name w:val="Normal"/>
    <w:qFormat/>
  </w:style>
  <w:style w:type="character" w:styleId="9">
    <w:name w:val="Default Paragraph Font"/>
    <w:uiPriority w:val="1"/>
    <w:semiHidden/>
    <w:unhideWhenUsed/>
  </w:style>
  <w:style w:type="numbering" w:styleId="10">
    <w:name w:val="No List"/>
    <w:uiPriority w:val="99"/>
    <w:semiHidden/>
    <w:unhideWhenUsed/>
  </w:style>
  <w:style w:type="paragraph" w:styleId="11">
    <w:name w:val="Heading 1"/>
    <w:basedOn w:val="8"/>
    <w:next w:val="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uiPriority w:val="34"/>
    <w:qFormat/>
    <w:pPr>
      <w:contextualSpacing/>
      <w:ind w:left="720"/>
    </w:pPr>
  </w:style>
  <w:style w:type="table" w:styleId="30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8"/>
    <w:next w:val="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8"/>
    <w:next w:val="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8"/>
    <w:next w:val="8"/>
    <w:uiPriority w:val="99"/>
    <w:unhideWhenUsed/>
    <w:pPr>
      <w:spacing w:after="0" w:afterAutospacing="0"/>
    </w:pPr>
  </w:style>
  <w:style w:type="paragraph" w:styleId="731">
    <w:name w:val="Header 87ae324c9b7f5dffe61caaba6eaaad79"/>
    <w:basedOn w:val="746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Header Char 87ae324c9b7f5dffe61caaba6eaaad79"/>
    <w:link w:val="731"/>
    <w:uiPriority w:val="99"/>
  </w:style>
  <w:style w:type="paragraph" w:styleId="733">
    <w:name w:val="Footer 87ae324c9b7f5dffe61caaba6eaaad79"/>
    <w:basedOn w:val="746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Footer Char 87ae324c9b7f5dffe61caaba6eaaad79"/>
    <w:link w:val="733"/>
    <w:uiPriority w:val="99"/>
  </w:style>
  <w:style w:type="character" w:styleId="735">
    <w:name w:val="Caption Char 87ae324c9b7f5dffe61caaba6eaaad79"/>
    <w:link w:val="733"/>
    <w:uiPriority w:val="99"/>
  </w:style>
  <w:style w:type="character" w:styleId="736">
    <w:name w:val="Hyperlink 87ae324c9b7f5dffe61caaba6eaaad79"/>
    <w:uiPriority w:val="99"/>
    <w:unhideWhenUsed/>
    <w:rPr>
      <w:color w:val="0000FF" w:themeColor="hyperlink"/>
      <w:u w:val="single"/>
    </w:rPr>
  </w:style>
  <w:style w:type="paragraph" w:styleId="737">
    <w:name w:val="toc 1 87ae324c9b7f5dffe61caaba6eaaad79"/>
    <w:basedOn w:val="746"/>
    <w:uiPriority w:val="39"/>
    <w:unhideWhenUsed/>
    <w:pPr>
      <w:ind w:left="0" w:right="0" w:firstLine="0"/>
      <w:spacing w:after="57"/>
    </w:pPr>
  </w:style>
  <w:style w:type="paragraph" w:styleId="738">
    <w:name w:val="toc 2 87ae324c9b7f5dffe61caaba6eaaad79"/>
    <w:basedOn w:val="746"/>
    <w:uiPriority w:val="39"/>
    <w:unhideWhenUsed/>
    <w:pPr>
      <w:ind w:left="283" w:right="0" w:firstLine="0"/>
      <w:spacing w:after="57"/>
    </w:pPr>
  </w:style>
  <w:style w:type="paragraph" w:styleId="739">
    <w:name w:val="toc 3 87ae324c9b7f5dffe61caaba6eaaad79"/>
    <w:basedOn w:val="746"/>
    <w:uiPriority w:val="39"/>
    <w:unhideWhenUsed/>
    <w:pPr>
      <w:ind w:left="567" w:right="0" w:firstLine="0"/>
      <w:spacing w:after="57"/>
    </w:pPr>
  </w:style>
  <w:style w:type="paragraph" w:styleId="740">
    <w:name w:val="toc 4 87ae324c9b7f5dffe61caaba6eaaad79"/>
    <w:basedOn w:val="746"/>
    <w:uiPriority w:val="39"/>
    <w:unhideWhenUsed/>
    <w:pPr>
      <w:ind w:left="850" w:right="0" w:firstLine="0"/>
      <w:spacing w:after="57"/>
    </w:pPr>
  </w:style>
  <w:style w:type="paragraph" w:styleId="741">
    <w:name w:val="toc 5 87ae324c9b7f5dffe61caaba6eaaad79"/>
    <w:basedOn w:val="746"/>
    <w:uiPriority w:val="39"/>
    <w:unhideWhenUsed/>
    <w:pPr>
      <w:ind w:left="1134" w:right="0" w:firstLine="0"/>
      <w:spacing w:after="57"/>
    </w:pPr>
  </w:style>
  <w:style w:type="paragraph" w:styleId="742">
    <w:name w:val="toc 6 87ae324c9b7f5dffe61caaba6eaaad79"/>
    <w:basedOn w:val="746"/>
    <w:uiPriority w:val="39"/>
    <w:unhideWhenUsed/>
    <w:pPr>
      <w:ind w:left="1417" w:right="0" w:firstLine="0"/>
      <w:spacing w:after="57"/>
    </w:pPr>
  </w:style>
  <w:style w:type="paragraph" w:styleId="743">
    <w:name w:val="toc 7 87ae324c9b7f5dffe61caaba6eaaad79"/>
    <w:basedOn w:val="746"/>
    <w:uiPriority w:val="39"/>
    <w:unhideWhenUsed/>
    <w:pPr>
      <w:ind w:left="1701" w:right="0" w:firstLine="0"/>
      <w:spacing w:after="57"/>
    </w:pPr>
  </w:style>
  <w:style w:type="paragraph" w:styleId="744">
    <w:name w:val="toc 8 87ae324c9b7f5dffe61caaba6eaaad79"/>
    <w:basedOn w:val="746"/>
    <w:uiPriority w:val="39"/>
    <w:unhideWhenUsed/>
    <w:pPr>
      <w:ind w:left="1984" w:right="0" w:firstLine="0"/>
      <w:spacing w:after="57"/>
    </w:pPr>
  </w:style>
  <w:style w:type="paragraph" w:styleId="745">
    <w:name w:val="toc 9 87ae324c9b7f5dffe61caaba6eaaad79"/>
    <w:basedOn w:val="746"/>
    <w:uiPriority w:val="39"/>
    <w:unhideWhenUsed/>
    <w:pPr>
      <w:ind w:left="2268" w:right="0" w:firstLine="0"/>
      <w:spacing w:after="57"/>
    </w:pPr>
  </w:style>
  <w:style w:type="paragraph" w:styleId="746" w:default="1">
    <w:name w:val="Normal 87ae324c9b7f5dffe61caaba6eaaad79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47" w:default="1">
    <w:name w:val="Default Paragraph Font 87ae324c9b7f5dffe61caaba6eaaad79"/>
    <w:uiPriority w:val="1"/>
    <w:semiHidden/>
    <w:unhideWhenUsed/>
  </w:style>
  <w:style w:type="numbering" w:styleId="748" w:default="1">
    <w:name w:val="No List 87ae324c9b7f5dffe61caaba6eaaad79"/>
    <w:uiPriority w:val="99"/>
    <w:semiHidden/>
    <w:unhideWhenUsed/>
  </w:style>
  <w:style w:type="table" w:styleId="749" w:default="1">
    <w:name w:val="Normal Table 87ae324c9b7f5dffe61caaba6eaaad79"/>
    <w:uiPriority w:val="99"/>
    <w:semiHidden/>
    <w:unhideWhenUsed/>
    <w:tblPr/>
  </w:style>
  <w:style w:type="paragraph" w:styleId="750">
    <w:name w:val="List Paragraph 56243dc04e6b703405ae27cf2856ae49 87ae324c9b7f5dffe61caaba6eaaad79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cs="Mangal" w:eastAsia="SimSun"/>
      <w:b w:val="0"/>
      <w:bCs w:val="0"/>
      <w:i w:val="0"/>
      <w:iCs w:val="0"/>
      <w:caps w:val="0"/>
      <w:smallCaps w:val="0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it-IT" w:bidi="hi-IN" w:eastAsia="zh-CN"/>
    </w:rPr>
  </w:style>
  <w:style w:type="character" w:styleId="751">
    <w:name w:val="Hyperlink 7e8d4f6e29350159dad4ed51126ef199"/>
    <w:uiPriority w:val="99"/>
    <w:unhideWhenUsed/>
    <w:rPr>
      <w:color w:val="0000FF" w:themeColor="hyperlink"/>
      <w:u w:val="single"/>
    </w:rPr>
  </w:style>
  <w:style w:type="paragraph" w:styleId="752">
    <w:name w:val="toc 1 7e8d4f6e29350159dad4ed51126ef199"/>
    <w:basedOn w:val="761"/>
    <w:uiPriority w:val="39"/>
    <w:unhideWhenUsed/>
    <w:pPr>
      <w:ind w:left="0" w:right="0" w:firstLine="0"/>
      <w:spacing w:after="57"/>
    </w:pPr>
  </w:style>
  <w:style w:type="paragraph" w:styleId="753">
    <w:name w:val="toc 2 7e8d4f6e29350159dad4ed51126ef199"/>
    <w:basedOn w:val="761"/>
    <w:uiPriority w:val="39"/>
    <w:unhideWhenUsed/>
    <w:pPr>
      <w:ind w:left="283" w:right="0" w:firstLine="0"/>
      <w:spacing w:after="57"/>
    </w:pPr>
  </w:style>
  <w:style w:type="paragraph" w:styleId="754">
    <w:name w:val="toc 3 7e8d4f6e29350159dad4ed51126ef199"/>
    <w:basedOn w:val="761"/>
    <w:uiPriority w:val="39"/>
    <w:unhideWhenUsed/>
    <w:pPr>
      <w:ind w:left="567" w:right="0" w:firstLine="0"/>
      <w:spacing w:after="57"/>
    </w:pPr>
  </w:style>
  <w:style w:type="paragraph" w:styleId="755">
    <w:name w:val="toc 4 7e8d4f6e29350159dad4ed51126ef199"/>
    <w:basedOn w:val="761"/>
    <w:uiPriority w:val="39"/>
    <w:unhideWhenUsed/>
    <w:pPr>
      <w:ind w:left="850" w:right="0" w:firstLine="0"/>
      <w:spacing w:after="57"/>
    </w:pPr>
  </w:style>
  <w:style w:type="paragraph" w:styleId="756">
    <w:name w:val="toc 5 7e8d4f6e29350159dad4ed51126ef199"/>
    <w:basedOn w:val="761"/>
    <w:uiPriority w:val="39"/>
    <w:unhideWhenUsed/>
    <w:pPr>
      <w:ind w:left="1134" w:right="0" w:firstLine="0"/>
      <w:spacing w:after="57"/>
    </w:pPr>
  </w:style>
  <w:style w:type="paragraph" w:styleId="757">
    <w:name w:val="toc 6 7e8d4f6e29350159dad4ed51126ef199"/>
    <w:basedOn w:val="761"/>
    <w:uiPriority w:val="39"/>
    <w:unhideWhenUsed/>
    <w:pPr>
      <w:ind w:left="1417" w:right="0" w:firstLine="0"/>
      <w:spacing w:after="57"/>
    </w:pPr>
  </w:style>
  <w:style w:type="paragraph" w:styleId="758">
    <w:name w:val="toc 7 7e8d4f6e29350159dad4ed51126ef199"/>
    <w:basedOn w:val="761"/>
    <w:uiPriority w:val="39"/>
    <w:unhideWhenUsed/>
    <w:pPr>
      <w:ind w:left="1701" w:right="0" w:firstLine="0"/>
      <w:spacing w:after="57"/>
    </w:pPr>
  </w:style>
  <w:style w:type="paragraph" w:styleId="759">
    <w:name w:val="toc 8 7e8d4f6e29350159dad4ed51126ef199"/>
    <w:basedOn w:val="761"/>
    <w:uiPriority w:val="39"/>
    <w:unhideWhenUsed/>
    <w:pPr>
      <w:ind w:left="1984" w:right="0" w:firstLine="0"/>
      <w:spacing w:after="57"/>
    </w:pPr>
  </w:style>
  <w:style w:type="paragraph" w:styleId="760">
    <w:name w:val="toc 9 7e8d4f6e29350159dad4ed51126ef199"/>
    <w:basedOn w:val="761"/>
    <w:uiPriority w:val="39"/>
    <w:unhideWhenUsed/>
    <w:pPr>
      <w:ind w:left="2268" w:right="0" w:firstLine="0"/>
      <w:spacing w:after="57"/>
    </w:pPr>
  </w:style>
  <w:style w:type="paragraph" w:styleId="761">
    <w:name w:val="Normal 7e8d4f6e29350159dad4ed51126ef199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62">
    <w:name w:val="Default Paragraph Font 7e8d4f6e29350159dad4ed51126ef199"/>
    <w:uiPriority w:val="1"/>
    <w:semiHidden/>
    <w:unhideWhenUsed/>
  </w:style>
  <w:style w:type="numbering" w:styleId="763">
    <w:name w:val="No List 7e8d4f6e29350159dad4ed51126ef199"/>
    <w:uiPriority w:val="99"/>
    <w:semiHidden/>
    <w:unhideWhenUsed/>
  </w:style>
  <w:style w:type="table" w:styleId="764">
    <w:name w:val="Normal Table 7e8d4f6e29350159dad4ed51126ef199"/>
    <w:uiPriority w:val="99"/>
    <w:semiHidden/>
    <w:unhideWhenUsed/>
    <w:tblPr/>
  </w:style>
  <w:style w:type="character" w:styleId="765">
    <w:name w:val="Hyperlink 27c97804add586236c51c002ddd6a93d"/>
    <w:uiPriority w:val="99"/>
    <w:unhideWhenUsed/>
    <w:rPr>
      <w:color w:val="0000FF" w:themeColor="hyperlink"/>
      <w:u w:val="single"/>
    </w:rPr>
  </w:style>
  <w:style w:type="paragraph" w:styleId="766">
    <w:name w:val="toc 1 27c97804add586236c51c002ddd6a93d"/>
    <w:basedOn w:val="775"/>
    <w:uiPriority w:val="39"/>
    <w:unhideWhenUsed/>
    <w:pPr>
      <w:ind w:left="0" w:right="0" w:firstLine="0"/>
      <w:spacing w:after="57"/>
    </w:pPr>
  </w:style>
  <w:style w:type="paragraph" w:styleId="767">
    <w:name w:val="toc 2 27c97804add586236c51c002ddd6a93d"/>
    <w:basedOn w:val="775"/>
    <w:uiPriority w:val="39"/>
    <w:unhideWhenUsed/>
    <w:pPr>
      <w:ind w:left="283" w:right="0" w:firstLine="0"/>
      <w:spacing w:after="57"/>
    </w:pPr>
  </w:style>
  <w:style w:type="paragraph" w:styleId="768">
    <w:name w:val="toc 3 27c97804add586236c51c002ddd6a93d"/>
    <w:basedOn w:val="775"/>
    <w:uiPriority w:val="39"/>
    <w:unhideWhenUsed/>
    <w:pPr>
      <w:ind w:left="567" w:right="0" w:firstLine="0"/>
      <w:spacing w:after="57"/>
    </w:pPr>
  </w:style>
  <w:style w:type="paragraph" w:styleId="769">
    <w:name w:val="toc 4 27c97804add586236c51c002ddd6a93d"/>
    <w:basedOn w:val="775"/>
    <w:uiPriority w:val="39"/>
    <w:unhideWhenUsed/>
    <w:pPr>
      <w:ind w:left="850" w:right="0" w:firstLine="0"/>
      <w:spacing w:after="57"/>
    </w:pPr>
  </w:style>
  <w:style w:type="paragraph" w:styleId="770">
    <w:name w:val="toc 5 27c97804add586236c51c002ddd6a93d"/>
    <w:basedOn w:val="775"/>
    <w:uiPriority w:val="39"/>
    <w:unhideWhenUsed/>
    <w:pPr>
      <w:ind w:left="1134" w:right="0" w:firstLine="0"/>
      <w:spacing w:after="57"/>
    </w:pPr>
  </w:style>
  <w:style w:type="paragraph" w:styleId="771">
    <w:name w:val="toc 6 27c97804add586236c51c002ddd6a93d"/>
    <w:basedOn w:val="775"/>
    <w:uiPriority w:val="39"/>
    <w:unhideWhenUsed/>
    <w:pPr>
      <w:ind w:left="1417" w:right="0" w:firstLine="0"/>
      <w:spacing w:after="57"/>
    </w:pPr>
  </w:style>
  <w:style w:type="paragraph" w:styleId="772">
    <w:name w:val="toc 7 27c97804add586236c51c002ddd6a93d"/>
    <w:basedOn w:val="775"/>
    <w:uiPriority w:val="39"/>
    <w:unhideWhenUsed/>
    <w:pPr>
      <w:ind w:left="1701" w:right="0" w:firstLine="0"/>
      <w:spacing w:after="57"/>
    </w:pPr>
  </w:style>
  <w:style w:type="paragraph" w:styleId="773">
    <w:name w:val="toc 8 27c97804add586236c51c002ddd6a93d"/>
    <w:basedOn w:val="775"/>
    <w:uiPriority w:val="39"/>
    <w:unhideWhenUsed/>
    <w:pPr>
      <w:ind w:left="1984" w:right="0" w:firstLine="0"/>
      <w:spacing w:after="57"/>
    </w:pPr>
  </w:style>
  <w:style w:type="paragraph" w:styleId="774">
    <w:name w:val="toc 9 27c97804add586236c51c002ddd6a93d"/>
    <w:basedOn w:val="775"/>
    <w:uiPriority w:val="39"/>
    <w:unhideWhenUsed/>
    <w:pPr>
      <w:ind w:left="2268" w:right="0" w:firstLine="0"/>
      <w:spacing w:after="57"/>
    </w:pPr>
  </w:style>
  <w:style w:type="paragraph" w:styleId="775">
    <w:name w:val="Normal 27c97804add586236c51c002ddd6a93d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76">
    <w:name w:val="Default Paragraph Font 27c97804add586236c51c002ddd6a93d"/>
    <w:uiPriority w:val="1"/>
    <w:semiHidden/>
    <w:unhideWhenUsed/>
  </w:style>
  <w:style w:type="numbering" w:styleId="777">
    <w:name w:val="No List 27c97804add586236c51c002ddd6a93d"/>
    <w:uiPriority w:val="99"/>
    <w:semiHidden/>
    <w:unhideWhenUsed/>
  </w:style>
  <w:style w:type="table" w:styleId="778">
    <w:name w:val="Normal Table 27c97804add586236c51c002ddd6a93d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16</cp:revision>
  <dcterms:created xsi:type="dcterms:W3CDTF">2016-01-21T15:36:37Z</dcterms:created>
  <dcterms:modified xsi:type="dcterms:W3CDTF">2026-10-26T12:37:22Z</dcterms:modified>
</cp:coreProperties>
</file>