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708" w:leader="none"/>
          <w:tab w:val="center" w:pos="4819" w:leader="none"/>
          <w:tab w:val="right" w:pos="9638" w:leader="none"/>
        </w:tabs>
        <w:rPr>
          <w:rFonts w:ascii="Tahoma" w:hAnsi="Tahoma" w:cs="Tahoma" w:eastAsia="Times New Roman"/>
          <w:lang w:eastAsia="it-IT"/>
        </w:rPr>
      </w:pPr>
      <w:r>
        <w:rPr>
          <w:rFonts w:ascii="Tahoma" w:hAnsi="Tahoma" w:cs="Tahoma" w:eastAsia="Times New Roman"/>
          <w:b/>
          <w:lang w:eastAsia="it-IT"/>
        </w:rPr>
      </w:r>
      <w:r>
        <w:rPr>
          <w:rFonts w:ascii="Tahoma" w:hAnsi="Tahoma" w:cs="Tahoma" w:eastAsia="Times New Roman"/>
          <w:lang w:eastAsia="it-IT"/>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PROPOSTA DI DELIBERAZIONE</w:t>
      </w:r>
      <w:r>
        <w:rPr>
          <w:rFonts w:ascii="Arial" w:hAnsi="Arial" w:cs="Arial" w:eastAsia="Arial"/>
          <w:sz w:val="24"/>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b/>
          <w:sz w:val="24"/>
          <w:lang w:eastAsia="it-IT"/>
        </w:rPr>
        <w:t xml:space="preserve">DEL CONSIGLIO COMUNALE</w:t>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sz w:val="24"/>
          <w:highlight w:val="none"/>
        </w:rPr>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highlight w:val="none"/>
          <w:lang w:eastAsia="it-IT"/>
        </w:rPr>
        <w:t xml:space="preserve">n. </w:t>
      </w:r>
      <w:r>
        <w:rPr>
          <w:rFonts w:ascii="Arial" w:hAnsi="Arial" w:cs="Arial" w:eastAsia="Arial"/>
          <w:b/>
          <w:sz w:val="24"/>
          <w:lang w:eastAsia="it-IT"/>
        </w:rPr>
        <w:t xml:space="preserve">883 del </w:t>
      </w:r>
      <w:r>
        <w:rPr>
          <w:rFonts w:ascii="Arial" w:hAnsi="Arial" w:cs="Arial" w:eastAsia="Arial"/>
          <w:b/>
          <w:sz w:val="24"/>
          <w:lang w:eastAsia="it-IT"/>
        </w:rPr>
        <w:t xml:space="preserve">23/07/2026</w:t>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OGGETTO:</w:t>
      </w:r>
      <w:r>
        <w:rPr>
          <w:rFonts w:ascii="Arial" w:hAnsi="Arial" w:cs="Arial" w:eastAsia="Arial"/>
          <w:sz w:val="24"/>
        </w:rPr>
      </w:r>
      <w:r/>
    </w:p>
    <w:p>
      <w:pPr>
        <w:rPr>
          <w:rFonts w:ascii="Arial" w:hAnsi="Arial" w:cs="Arial" w:eastAsia="Arial"/>
        </w:rPr>
      </w:pPr>
      <w:r>
        <w:rPr>
          <w:rFonts w:ascii="Arial" w:hAnsi="Arial" w:cs="Arial" w:eastAsia="Arial"/>
          <w:b/>
          <w:sz w:val="24"/>
          <w:lang w:eastAsia="it-IT"/>
        </w:rPr>
        <w:t xml:space="preserve">DETERMINAZIONI IN MERITO ALLA SUSSISTE</w:t>
      </w:r>
      <w:r>
        <w:rPr>
          <w:rFonts w:ascii="Arial" w:hAnsi="Arial" w:cs="Arial" w:eastAsia="Arial"/>
          <w:b/>
          <w:sz w:val="24"/>
          <w:lang w:eastAsia="it-IT"/>
        </w:rPr>
        <w:t xml:space="preserve">NZA DELL'INTERESSE PUBBLICO PER LA LOCALIZZAZIONE DELLA NUOVA SEDE DEL COMMISSARIATO DI PUBBLICA SICUREZZA DI OSIMO, AI SENSI DELL'ART. 4 DELLE NORME TECNICHE DI ATTUAZIONE DEL PIANO URBANISTICO COMUNALE E AI SENSI DELL'ART. 14 COMMA 1 DEL D.P.R. 380/2001.</w:t>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Bdr>
          <w:bottom w:val="single" w:color="000000" w:sz="6" w:space="0"/>
        </w:pBdr>
      </w:pPr>
      <w:r>
        <w:rPr>
          <w:rFonts w:ascii="Arial" w:hAnsi="Arial" w:cs="Arial" w:eastAsia="Arial"/>
          <w:sz w:val="2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lang w:eastAsia="it-IT"/>
        </w:rPr>
      </w:r>
      <w:r>
        <w:rPr>
          <w:rFonts w:ascii="Arial" w:hAnsi="Arial" w:cs="Arial" w:eastAsia="Arial"/>
          <w:sz w:val="24"/>
        </w:rPr>
      </w:r>
      <w:r/>
    </w:p>
    <w:p>
      <w:pPr>
        <w:pStyle w:val="768"/>
      </w:pPr>
      <w:r/>
      <w:r/>
    </w:p>
    <w:p>
      <w:pPr>
        <w:jc w:val="center"/>
        <w:rPr>
          <w:rFonts w:ascii="Arial" w:hAnsi="Arial" w:cs="Arial" w:eastAsia="Arial"/>
          <w:b/>
          <w:sz w:val="24"/>
          <w:highlight w:val="none"/>
        </w:rPr>
      </w:pPr>
      <w:r>
        <w:rPr>
          <w:rFonts w:ascii="Arial" w:hAnsi="Arial" w:cs="Arial" w:eastAsia="Arial"/>
          <w:b/>
          <w:sz w:val="24"/>
          <w:highlight w:val="none"/>
        </w:rPr>
      </w:r>
      <w:r>
        <w:rPr>
          <w:rFonts w:ascii="Arial" w:hAnsi="Arial" w:cs="Arial" w:eastAsia="Arial"/>
          <w:b/>
          <w:sz w:val="24"/>
          <w:highlight w:val="none"/>
        </w:rPr>
      </w:r>
      <w:r/>
    </w:p>
    <w:p>
      <w:pPr>
        <w:pStyle w:val="754"/>
        <w:jc w:val="center"/>
        <w:rPr>
          <w:rFonts w:ascii="Arial" w:hAnsi="Arial" w:cs="Arial" w:eastAsia="Arial"/>
          <w:b/>
          <w:bCs/>
          <w:sz w:val="24"/>
          <w:szCs w:val="24"/>
          <w:highlight w:val="none"/>
        </w:rPr>
      </w:pPr>
      <w:r>
        <w:rPr>
          <w:rFonts w:ascii="Arial" w:hAnsi="Arial" w:cs="Arial" w:eastAsia="Arial"/>
          <w:b/>
          <w:sz w:val="24"/>
        </w:rPr>
        <w:t xml:space="preserve">IL CONSIGLIO COMUNALE</w:t>
      </w:r>
      <w:r>
        <w:rPr>
          <w:rFonts w:ascii="Arial" w:hAnsi="Arial" w:cs="Arial" w:eastAsia="Arial"/>
          <w:b/>
          <w:bCs/>
          <w:sz w:val="24"/>
          <w:szCs w:val="24"/>
          <w:highlight w:val="none"/>
        </w:rPr>
      </w:r>
      <w:r/>
    </w:p>
    <w:p>
      <w:pPr>
        <w:jc w:val="left"/>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PREMESSO CHE</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con nota prot. n. 25158 del 21 luglio 2026 la Prefettura di Ancona ha richiesto al Comune di Osimo l'attivazione del procedimento previsto dall'art. 4 delle Norme Tecniche di Attuazione del Piano Urbanistico Comunale, finalizzato all'accertamento dell'inte</w:t>
      </w:r>
      <w:r>
        <w:rPr>
          <w:rFonts w:ascii="Times New Roman" w:hAnsi="Times New Roman" w:cs="Times New Roman" w:eastAsia="Times New Roman"/>
          <w:color w:val="000000"/>
          <w:sz w:val="24"/>
        </w:rPr>
        <w:t xml:space="preserve">resse pubblico ed alla valutazione della compatibilità urbanistica della localizzazione della nuova sede del Commissariato di Pubblica Sicurezza di Osimo, su area di proprietà comunale ubicata in via Vicarelli, in una zona caratterizzata da un tessuto prev</w:t>
      </w:r>
      <w:r>
        <w:rPr>
          <w:rFonts w:ascii="Times New Roman" w:hAnsi="Times New Roman" w:cs="Times New Roman" w:eastAsia="Times New Roman"/>
          <w:color w:val="000000"/>
          <w:sz w:val="24"/>
        </w:rPr>
        <w:t xml:space="preserve">alentemente residenziale, dalla presenza di attrezzature e servizi pubblici e facilmente accessibile dalla viabilità urbana principale, trasmettendo il layout progettuale predisposto dal Ministero dell'Interno;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richiesta trae origine dall'esigenza, rappresentata dagli organi periferici e centrali del Ministero dell'Interno, di individuare una nuova sede per il Commissariato di Pubblica Sicurezza di Osimo, idonea a soddisfare le esigenze operative, logistiche e</w:t>
      </w:r>
      <w:r>
        <w:rPr>
          <w:rFonts w:ascii="Times New Roman" w:hAnsi="Times New Roman" w:cs="Times New Roman" w:eastAsia="Times New Roman"/>
          <w:color w:val="000000"/>
          <w:sz w:val="24"/>
        </w:rPr>
        <w:t xml:space="preserve"> funzionali della Polizia di Stato;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l’Amministrazione comunale, in un’ottica di leale collaborazione istituzionale con il Ministero dell’Interno e la Prefettura di Ancona, ha sottoposto all’esame dell’Amministrazione della Pubblica Sicurezza diverse possibili soluzioni localizzative, compren</w:t>
      </w:r>
      <w:r>
        <w:rPr>
          <w:rFonts w:ascii="Times New Roman" w:hAnsi="Times New Roman" w:cs="Times New Roman" w:eastAsia="Times New Roman"/>
          <w:color w:val="000000"/>
          <w:sz w:val="24"/>
        </w:rPr>
        <w:t xml:space="preserve">denti sia immobili esistenti, dismessi o sottoutilizzati, sia aree di proprietà comunale potenzialmente idonee ad ospitare la nuova sede del Commissariato;</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a seguito delle valutazioni svolte dalla Questura di Ancona sotto il profilo operativo e funzionale, l'area individuata è stata ritenuta idonea ad ospitare la nuova struttura, in ragione delle sue caratteristiche dimensionali, della posizione strategica, d</w:t>
      </w:r>
      <w:r>
        <w:rPr>
          <w:rFonts w:ascii="Times New Roman" w:hAnsi="Times New Roman" w:cs="Times New Roman" w:eastAsia="Times New Roman"/>
          <w:color w:val="000000"/>
          <w:sz w:val="24"/>
        </w:rPr>
        <w:t xml:space="preserve">ell'accessibilità e della capacità di rispondere alle esigenze istituzionali dell'Amministrazione della Pubblica Sicurezza;</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il procedimento è stato avviato dal Settore Pianificazione ai sensi dell'art. 4 delle Norme Tecniche di Attuazione del Piano Urbanistico Comunale, disposizione che demanda al Consiglio Comunale la valutazione della compatibilità della localizzazione delle </w:t>
      </w:r>
      <w:r>
        <w:rPr>
          <w:rFonts w:ascii="Times New Roman" w:hAnsi="Times New Roman" w:cs="Times New Roman" w:eastAsia="Times New Roman"/>
          <w:color w:val="000000"/>
          <w:sz w:val="24"/>
        </w:rPr>
        <w:t xml:space="preserve">attività appartenenti alla categoria degli usi "s", promosse da soggetti diversi dal Comune;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il Settore Pianificazione ha svolto la prescritta istruttoria tecnica acquisendo i contributi istruttori del Settore Sportello Unico Edilizia Privata e del Comando di Polizia Locale, predisponendo il contributo istruttorio conclusivo da sottoporre al Consi</w:t>
      </w:r>
      <w:r>
        <w:rPr>
          <w:rFonts w:ascii="Times New Roman" w:hAnsi="Times New Roman" w:cs="Times New Roman" w:eastAsia="Times New Roman"/>
          <w:color w:val="000000"/>
          <w:sz w:val="24"/>
        </w:rPr>
        <w:t xml:space="preserve">glio Comunale.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PRESO ATTO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del contributo istruttorio conclusivo predisposto dal Settore Pianificazione con ID 1516719 del 24/07/2026 allegato al presente atto, che contiene e recepisce il referto istruttorio espresso dal Settore Sportello Unico Edilizia Privata trasmesso con ID 151</w:t>
      </w:r>
      <w:r>
        <w:rPr>
          <w:rFonts w:ascii="Times New Roman" w:hAnsi="Times New Roman" w:cs="Times New Roman" w:eastAsia="Times New Roman"/>
          <w:color w:val="000000"/>
          <w:sz w:val="24"/>
        </w:rPr>
        <w:t xml:space="preserve">6263 del 23/07/2026 e il parere espresso dal Comando di Polizia Locale trasmesso con ID 1515578 del 22/07/2026;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della documentazione tecnico-progettuale predisposta dal Ministero dell'Interno e trasmessa dalla Prefettura di Ancona.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CONSIDERATO CHE</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l'art. 4 delle Norme Tecniche di Attuazione del Piano Urbanistico Comunale demanda al Consiglio Comunale l'accertamento dell'interesse pubblico e la valutazione della compatibilità della localizzazione delle attività riconducibili alla categoria degli usi </w:t>
      </w:r>
      <w:r>
        <w:rPr>
          <w:rFonts w:ascii="Times New Roman" w:hAnsi="Times New Roman" w:cs="Times New Roman" w:eastAsia="Times New Roman"/>
          <w:color w:val="000000"/>
          <w:sz w:val="24"/>
        </w:rPr>
        <w:t xml:space="preserve">"s", quale espressione della discrezionalità amministrativa dell'Ente, da esercitarsi sulla base delle risultanze dell'istruttoria tecnica;</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valutazione richiesta al Consiglio Comunale non costituisce approvazione del progetto edilizio né sostituisce i successivi procedimenti autorizzativi, ma è limitata alla verifica della compatibilità urbanistica della localizzazione proposta e della suss</w:t>
      </w:r>
      <w:r>
        <w:rPr>
          <w:rFonts w:ascii="Times New Roman" w:hAnsi="Times New Roman" w:cs="Times New Roman" w:eastAsia="Times New Roman"/>
          <w:color w:val="000000"/>
          <w:sz w:val="24"/>
        </w:rPr>
        <w:t xml:space="preserve">istenza dell'interesse pubblico dell'intervento.</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DATO ATTO CHE dalle risultanze dell'istruttoria tecnica emerge che:</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l'intervento riguarda la realizzazione della nuova sede del Commissariato di Pubblica Sicurezza di Osimo, destinata ad ospitare le funzioni istituzionali della Polizia di Stato, quale presidio permanente dello Stato per lo svolgimento delle attività di pre</w:t>
      </w:r>
      <w:r>
        <w:rPr>
          <w:rFonts w:ascii="Times New Roman" w:hAnsi="Times New Roman" w:cs="Times New Roman" w:eastAsia="Times New Roman"/>
          <w:color w:val="000000"/>
          <w:sz w:val="24"/>
        </w:rPr>
        <w:t xml:space="preserve">venzione, controllo del territorio, tutela dell'ordine pubblico e sicurezza dei cittadini;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l'area interessata ricade in Zona F6 del Piano Urbanistico Comunale e la destinazione proposta è riconducibile alla categoria degli usi "s", per la quale l'art. 4 delle Norme Tecniche di Attuazione del Piano Urbanistico Comunale prevede la preventiva delib</w:t>
      </w:r>
      <w:r>
        <w:rPr>
          <w:rFonts w:ascii="Times New Roman" w:hAnsi="Times New Roman" w:cs="Times New Roman" w:eastAsia="Times New Roman"/>
          <w:color w:val="000000"/>
          <w:sz w:val="24"/>
        </w:rPr>
        <w:t xml:space="preserve">erazione del Consiglio Comunale;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localizzazione proposta risulta coerente con la pianificazione urbanistica vigente e non determina alcuna compromissione del sistema degli standard urbanistici, permanendo un'adeguata dotazione di aree destinate a servizi e verde pubblico;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dalla documentazione patrimoniale acquisita agli atti risulta che l'area è stata acquisita al patrimonio comunale per finalità pubbliche e istituzionali, risultando pertanto coerente con tali finalità anche la realizzazione della nuova sede del Commissaria</w:t>
      </w:r>
      <w:r>
        <w:rPr>
          <w:rFonts w:ascii="Times New Roman" w:hAnsi="Times New Roman" w:cs="Times New Roman" w:eastAsia="Times New Roman"/>
          <w:color w:val="000000"/>
          <w:sz w:val="24"/>
        </w:rPr>
        <w:t xml:space="preserve">to di Pubblica Sicurezza; </w:t>
      </w:r>
      <w:r/>
    </w:p>
    <w:p>
      <w:pPr>
        <w:numPr>
          <w:ilvl w:val="0"/>
          <w:numId w:val="1"/>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 contributi istruttori acquisiti non hanno evidenziato elementi ostativi sotto il profilo urbanistico, edilizio, paesaggistico, ambientale, idrogeologico, della viabilità e dell'accessibilità, formulando esclusivamente prescrizioni da recepire nelle succe</w:t>
      </w:r>
      <w:r>
        <w:rPr>
          <w:rFonts w:ascii="Times New Roman" w:hAnsi="Times New Roman" w:cs="Times New Roman" w:eastAsia="Times New Roman"/>
          <w:color w:val="000000"/>
          <w:sz w:val="24"/>
        </w:rPr>
        <w:t xml:space="preserve">ssive fasi progettuali.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PRESO ATTO che ferme restando le ulteriori verifiche da svolgersi nelle successive fasi progettuali ed autorizzative, il Servizio Pianificazione ritiene che la valutazione di compatibilità urbanistica possa essere espressa favorevolmente, subordinatamente </w:t>
      </w:r>
      <w:r>
        <w:rPr>
          <w:rFonts w:ascii="Times New Roman" w:hAnsi="Times New Roman" w:cs="Times New Roman" w:eastAsia="Times New Roman"/>
          <w:color w:val="000000"/>
          <w:sz w:val="24"/>
        </w:rPr>
        <w:t xml:space="preserve">al recepimento delle seguenti prescrizioni:</w:t>
      </w:r>
      <w:r/>
    </w:p>
    <w:p>
      <w:pPr>
        <w:numPr>
          <w:ilvl w:val="0"/>
          <w:numId w:val="2"/>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Localizzazione del fabbricato - Il sedime dell'edificio dovrà essere sviluppato all’interno delle particelle censite al Foglio 57 mappale 462 e Foglio 40 mappale 1088 nel rispetto delle distanze dai confini previste dalla normativa vigente e non dovrà inte</w:t>
      </w:r>
      <w:r>
        <w:rPr>
          <w:rFonts w:ascii="Times New Roman" w:hAnsi="Times New Roman" w:cs="Times New Roman" w:eastAsia="Times New Roman"/>
          <w:color w:val="000000"/>
          <w:sz w:val="24"/>
        </w:rPr>
        <w:t xml:space="preserve">ressare la particella catastale censita al Foglio 40, mappale 1103.</w:t>
      </w:r>
      <w:r/>
    </w:p>
    <w:p>
      <w:pPr>
        <w:numPr>
          <w:ilvl w:val="0"/>
          <w:numId w:val="2"/>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Tutela delle aree verdi - La progettazione definitiva dovrà limitare al minimo indispensabile l'occupazione delle superfici destinate a verde pubblico, assicurando la conservazione della maggiore estensione possibile delle aree verdi esistenti e prevedendo</w:t>
      </w:r>
      <w:r>
        <w:rPr>
          <w:rFonts w:ascii="Times New Roman" w:hAnsi="Times New Roman" w:cs="Times New Roman" w:eastAsia="Times New Roman"/>
          <w:color w:val="000000"/>
          <w:sz w:val="24"/>
        </w:rPr>
        <w:t xml:space="preserve"> adeguate sistemazioni paesaggistiche delle superfici residue.</w:t>
      </w:r>
      <w:r/>
    </w:p>
    <w:p>
      <w:pPr>
        <w:numPr>
          <w:ilvl w:val="0"/>
          <w:numId w:val="2"/>
        </w:numPr>
        <w:ind w:left="425"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Viabilità e parcheggi - Nelle successive fasi progettuali dovrà essere verificata la funzionalità degli accessi carrabili e pedonali, l'organizzazione della viabilità interna e dovrà essere garantita un'adeguata dotazione di parcheggi pubblici a servizio d</w:t>
      </w:r>
      <w:r>
        <w:rPr>
          <w:rFonts w:ascii="Times New Roman" w:hAnsi="Times New Roman" w:cs="Times New Roman" w:eastAsia="Times New Roman"/>
          <w:color w:val="000000"/>
          <w:sz w:val="24"/>
        </w:rPr>
        <w:t xml:space="preserve">ella struttura stimando tale fabbisogno in almeno 25 ulteriori posti auto, oltre ai 18 posti destinati al personale, anche tenendo conto delle indicazioni formulate dal Comando di Polizia Locale.</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RITENUTO che le risultanze istruttorie consentano di riconoscere la sussistenza dell'interesse pubblico dell'intervento e la compatibilità della localizzazione proposta, ai sensi dell'art. 4 delle Norme Tecniche di Attuazione del Piano Urbanistico Comunale</w:t>
      </w:r>
      <w:r>
        <w:rPr>
          <w:rFonts w:ascii="Times New Roman" w:hAnsi="Times New Roman" w:cs="Times New Roman" w:eastAsia="Times New Roman"/>
          <w:color w:val="000000"/>
          <w:sz w:val="24"/>
        </w:rPr>
        <w:t xml:space="preserve"> in quanto l'opera costituisce un servizio pubblico essenziale di competenza statale, la localizzazione è urbanisticamente coerente con la pianificazione comunale, l'intervento non determina effetti pregiudizievoli sull'assetto urbanistico né sul sistema d</w:t>
      </w:r>
      <w:r>
        <w:rPr>
          <w:rFonts w:ascii="Times New Roman" w:hAnsi="Times New Roman" w:cs="Times New Roman" w:eastAsia="Times New Roman"/>
          <w:color w:val="000000"/>
          <w:sz w:val="24"/>
        </w:rPr>
        <w:t xml:space="preserve">elle dotazioni territoriali, le criticità evidenziate dagli uffici comunali risultano esclusivamente di natura progettuale e possono essere adeguatamente disciplinate mediante specifiche prescrizioni da recepire nelle successive fasi di progettazione e rea</w:t>
      </w:r>
      <w:r>
        <w:rPr>
          <w:rFonts w:ascii="Times New Roman" w:hAnsi="Times New Roman" w:cs="Times New Roman" w:eastAsia="Times New Roman"/>
          <w:color w:val="000000"/>
          <w:sz w:val="24"/>
        </w:rPr>
        <w:t xml:space="preserve">lizzazione.</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VISTI</w:t>
      </w:r>
      <w:r/>
    </w:p>
    <w:p>
      <w:pPr>
        <w:numPr>
          <w:ilvl w:val="0"/>
          <w:numId w:val="3"/>
        </w:numPr>
        <w:jc w:val="both"/>
        <w:spacing w:before="0" w:after="0"/>
        <w:tabs>
          <w:tab w:val="left" w:pos="720" w:leader="none"/>
        </w:tabs>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il D.Lgs. 18 agosto 2000, n. 267; </w:t>
      </w:r>
      <w:r/>
    </w:p>
    <w:p>
      <w:pPr>
        <w:numPr>
          <w:ilvl w:val="0"/>
          <w:numId w:val="3"/>
        </w:numPr>
        <w:jc w:val="both"/>
        <w:spacing w:before="0" w:after="0"/>
        <w:tabs>
          <w:tab w:val="left" w:pos="720" w:leader="none"/>
        </w:tabs>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il D.P.R. 6 giugno 2001, n. 380; </w:t>
      </w:r>
      <w:r/>
    </w:p>
    <w:p>
      <w:pPr>
        <w:numPr>
          <w:ilvl w:val="0"/>
          <w:numId w:val="3"/>
        </w:numPr>
        <w:jc w:val="both"/>
        <w:spacing w:before="0" w:after="0"/>
        <w:tabs>
          <w:tab w:val="left" w:pos="720" w:leader="none"/>
        </w:tabs>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L. 7 agosto 1990, n. 241; </w:t>
      </w:r>
      <w:r/>
    </w:p>
    <w:p>
      <w:pPr>
        <w:numPr>
          <w:ilvl w:val="0"/>
          <w:numId w:val="3"/>
        </w:numPr>
        <w:jc w:val="both"/>
        <w:spacing w:before="0" w:after="0"/>
        <w:tabs>
          <w:tab w:val="left" w:pos="720" w:leader="none"/>
        </w:tabs>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il Piano Urbanistico Comunale del Comune di Osimo; </w:t>
      </w:r>
      <w:r/>
    </w:p>
    <w:p>
      <w:pPr>
        <w:numPr>
          <w:ilvl w:val="0"/>
          <w:numId w:val="3"/>
        </w:numPr>
        <w:jc w:val="both"/>
        <w:spacing w:before="0" w:after="0"/>
        <w:tabs>
          <w:tab w:val="left" w:pos="720" w:leader="none"/>
        </w:tabs>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l'art. 4 delle Norme Tecniche di Attuazione del Piano Urbanistico Comunale.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ACQUISITI i seguenti pareri, ai sensi dell’art. 49 del D.Lgs. n. 267/2000:</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Parere favorevole di regolarità tecnica</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Dirigente del Dipartimento del Territorio – Arch. Manuela Vecchietti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Parere favorevole di regolarità contabile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La Dirigente del Dipartimento delle Finanze - Dott.ssa Anna Tiberi  </w:t>
      </w:r>
      <w:r/>
    </w:p>
    <w:p>
      <w:pPr>
        <w:ind w:left="72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DELIBERA</w:t>
      </w:r>
      <w:r/>
    </w:p>
    <w:p>
      <w:pPr>
        <w:numPr>
          <w:ilvl w:val="0"/>
          <w:numId w:val="4"/>
        </w:numPr>
        <w:ind w:left="283"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PRENDERE ATTO del contributo istruttorio conclusivo predisposto dal Settore Pianificazione, che costituisce parte integrante e sostanziale della presente deliberazione; </w:t>
      </w:r>
      <w:r/>
    </w:p>
    <w:p>
      <w:pPr>
        <w:numPr>
          <w:ilvl w:val="0"/>
          <w:numId w:val="4"/>
        </w:numPr>
        <w:ind w:left="283"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ESPRIMERE valutazione favorevole in ordine alla compatibilità della localizzazione proposta, ai sensi dell'art. 4 delle Norme Tecniche di Attuazione del Piano Urbanistico Comunale;</w:t>
      </w:r>
      <w:r/>
    </w:p>
    <w:p>
      <w:pPr>
        <w:numPr>
          <w:ilvl w:val="0"/>
          <w:numId w:val="4"/>
        </w:numPr>
        <w:ind w:left="283"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RICONOSCERE, ai sensi dell'art. 4 delle Norme Tecniche di Attuazione del Piano Urbanistico Comunale, la sussistenza dell'interesse pubblico alla localizzazione proposta per la realizzazione della nuova sede del Commissariato di Pubblica Sicurezza di Osi</w:t>
      </w:r>
      <w:r>
        <w:rPr>
          <w:rFonts w:ascii="Times New Roman" w:hAnsi="Times New Roman" w:cs="Times New Roman" w:eastAsia="Times New Roman"/>
          <w:color w:val="000000"/>
          <w:sz w:val="24"/>
        </w:rPr>
        <w:t xml:space="preserve">mo; </w:t>
      </w:r>
      <w:r/>
    </w:p>
    <w:p>
      <w:pPr>
        <w:numPr>
          <w:ilvl w:val="0"/>
          <w:numId w:val="4"/>
        </w:numPr>
        <w:ind w:left="283"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STABILIRE CHE nelle successive fasi di progettazione e realizzazione dell'intervento dovranno essere osservate le prescrizioni contenute nel contributo istruttorio conclusivo del Settore Pianificazione e, in particolare: </w:t>
      </w:r>
      <w:r/>
    </w:p>
    <w:p>
      <w:pPr>
        <w:numPr>
          <w:ilvl w:val="0"/>
          <w:numId w:val="5"/>
        </w:numPr>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Localizzazione del fabbricato - Il sedime dell'edificio dovrà essere sviluppato all’interno delle particelle censite al Foglio 57 mappale 462 e Foglio 40 mappale 1088 nel rispetto delle distanze dai confini previste dalla normativa vigente e non dovrà inte</w:t>
      </w:r>
      <w:r>
        <w:rPr>
          <w:rFonts w:ascii="Times New Roman" w:hAnsi="Times New Roman" w:cs="Times New Roman" w:eastAsia="Times New Roman"/>
          <w:color w:val="000000"/>
          <w:sz w:val="24"/>
        </w:rPr>
        <w:t xml:space="preserve">ressare la particella catastale censita al Foglio 40, mappale 1103;</w:t>
      </w:r>
      <w:r/>
    </w:p>
    <w:p>
      <w:pPr>
        <w:numPr>
          <w:ilvl w:val="0"/>
          <w:numId w:val="5"/>
        </w:numPr>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Tutela delle aree verdi - La progettazione definitiva dovrà limitare al minimo indispensabile l'occupazione delle superfici destinate a verde pubblico, assicurando la conservazione della maggiore estensione possibile delle aree verdi esistenti e prevedendo</w:t>
      </w:r>
      <w:r>
        <w:rPr>
          <w:rFonts w:ascii="Times New Roman" w:hAnsi="Times New Roman" w:cs="Times New Roman" w:eastAsia="Times New Roman"/>
          <w:color w:val="000000"/>
          <w:sz w:val="24"/>
        </w:rPr>
        <w:t xml:space="preserve"> adeguate sistemazioni paesaggistiche delle superfici residue.</w:t>
      </w:r>
      <w:r/>
    </w:p>
    <w:p>
      <w:pPr>
        <w:numPr>
          <w:ilvl w:val="0"/>
          <w:numId w:val="5"/>
        </w:numPr>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Viabilità e parcheggi - Nelle successive fasi progettuali dovrà essere verificata la funzionalità degli accessi carrabili e pedonali, l'organizzazione della viabilità interna e dovrà essere garantita e realizzata un'adeguata dotazione di parcheggi pubblici</w:t>
      </w:r>
      <w:r>
        <w:rPr>
          <w:rFonts w:ascii="Times New Roman" w:hAnsi="Times New Roman" w:cs="Times New Roman" w:eastAsia="Times New Roman"/>
          <w:color w:val="000000"/>
          <w:sz w:val="24"/>
        </w:rPr>
        <w:t xml:space="preserve"> a servizio della struttura stimando tale fabbisogno in almeno 25 ulteriori posti auto, oltre ai 18 posti destinati al personale, anche tenendo conto delle indicazioni formulate dal Comando di Polizia Locale.</w:t>
      </w:r>
      <w:r/>
    </w:p>
    <w:p>
      <w:pPr>
        <w:numPr>
          <w:ilvl w:val="0"/>
          <w:numId w:val="4"/>
        </w:numPr>
        <w:ind w:left="283"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DARE ATTO CHE la presente deliberazione costituisce esclusivamente la valutazione prevista dall'art. 4 delle Norme Tecniche di Attuazione del Piano Urbanistico Comunale e non costituisce titolo edilizio, non comporta l'approvazione del progetto, non det</w:t>
      </w:r>
      <w:r>
        <w:rPr>
          <w:rFonts w:ascii="Times New Roman" w:hAnsi="Times New Roman" w:cs="Times New Roman" w:eastAsia="Times New Roman"/>
          <w:color w:val="000000"/>
          <w:sz w:val="24"/>
        </w:rPr>
        <w:t xml:space="preserve">ermina variante agli strumenti urbanistici vigenti e non produce effetti traslativi o costitutivi di diritti sull'area interessata; </w:t>
      </w:r>
      <w:r/>
    </w:p>
    <w:p>
      <w:pPr>
        <w:numPr>
          <w:ilvl w:val="0"/>
          <w:numId w:val="4"/>
        </w:numPr>
        <w:ind w:left="283" w:right="0" w:hanging="283"/>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DARE ATTO CHE la definizione delle modalità di messa a disposizione dell'area a favore dello Stato o del soggetto pubblico attuatore, nonché l'approvazione del progetto, l'acquisizione dei titoli edilizi, delle autorizzazioni e degli eventuali atti patr</w:t>
      </w:r>
      <w:r>
        <w:rPr>
          <w:rFonts w:ascii="Times New Roman" w:hAnsi="Times New Roman" w:cs="Times New Roman" w:eastAsia="Times New Roman"/>
          <w:color w:val="000000"/>
          <w:sz w:val="24"/>
        </w:rPr>
        <w:t xml:space="preserve">imoniali necessari alla realizzazione dell'intervento, restano demandate ai successivi procedimenti amministrativi di competenza.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Infine, stante l'urgenza di consentire il prosieguo del procedimento amministrativo finalizzato alla realizzazione della nuova sede del Commissariato di Pubblica Sicurezza di Osimo,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DELIBERA</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dichiarare la presente deliberazione immediatamente eseguibile ai sensi dell'art. 134, comma 4, del D.Lgs. n. 267/2000.</w:t>
      </w:r>
      <w:r/>
    </w:p>
    <w:p>
      <w:pPr>
        <w:jc w:val="center"/>
      </w:pPr>
      <w:r>
        <w:rPr>
          <w:rFonts w:ascii="Arial" w:hAnsi="Arial" w:cs="Arial" w:eastAsia="Arial"/>
          <w:b/>
          <w:sz w:val="24"/>
          <w:highlight w:val="none"/>
        </w:rPr>
      </w:r>
      <w:r>
        <w:rPr>
          <w:rFonts w:ascii="Arial" w:hAnsi="Arial" w:cs="Arial" w:eastAsia="Arial"/>
          <w:b/>
          <w:sz w:val="24"/>
          <w:highlight w:val="none"/>
        </w:rPr>
      </w:r>
      <w:r/>
    </w:p>
    <w:p>
      <w:pPr>
        <w:jc w:val="center"/>
      </w:pPr>
      <w:r>
        <w:rPr>
          <w:rFonts w:ascii="Arial" w:hAnsi="Arial" w:cs="Arial" w:eastAsia="Arial"/>
          <w:b/>
          <w:sz w:val="24"/>
          <w:highlight w:val="none"/>
        </w:rPr>
        <w:t xml:space="preserve">***</w:t>
      </w:r>
      <w:r>
        <w:rPr>
          <w:rFonts w:ascii="Arial" w:hAnsi="Arial" w:cs="Arial" w:eastAsia="Arial"/>
          <w:b/>
          <w:sz w:val="24"/>
          <w:highlight w:val="none"/>
        </w:rPr>
      </w:r>
      <w:r/>
    </w:p>
    <w:p>
      <w:pPr>
        <w:jc w:val="left"/>
        <w:rPr>
          <w:bCs/>
          <w:i/>
          <w:sz w:val="20"/>
          <w:szCs w:val="20"/>
        </w:rPr>
      </w:pPr>
      <w:r>
        <w:rPr>
          <w:rFonts w:ascii="Arial" w:hAnsi="Arial" w:cs="Arial" w:eastAsia="Arial"/>
          <w:b/>
          <w:i/>
          <w:iCs/>
          <w:sz w:val="20"/>
          <w:szCs w:val="20"/>
          <w:highlight w:val="none"/>
        </w:rPr>
        <w:t xml:space="preserve">A</w:t>
      </w:r>
      <w:r>
        <w:rPr>
          <w:rFonts w:ascii="Arial" w:hAnsi="Arial" w:cs="Arial" w:eastAsia="Arial"/>
          <w:b/>
          <w:i/>
          <w:iCs/>
          <w:sz w:val="20"/>
          <w:szCs w:val="20"/>
          <w:highlight w:val="none"/>
        </w:rPr>
        <w:t xml:space="preserve">i sensi dell’art.35 del Regolamento del Consiglio Comunale, le sedute pubbliche del Consiglio Comunale vengono riprese e trasmesse via web e sono integralmente registrate su supporto digitale. Dette registrazioni sono consultabili attraverso il sito Intern</w:t>
      </w:r>
      <w:r>
        <w:rPr>
          <w:rFonts w:ascii="Arial" w:hAnsi="Arial" w:cs="Arial" w:eastAsia="Arial"/>
          <w:b/>
          <w:i/>
          <w:iCs/>
          <w:sz w:val="20"/>
          <w:szCs w:val="20"/>
          <w:highlight w:val="none"/>
        </w:rPr>
        <w:t xml:space="preserve">et del Comune.</w:t>
      </w:r>
      <w:r>
        <w:rPr>
          <w:bCs/>
          <w:i/>
          <w:sz w:val="20"/>
          <w:szCs w:val="20"/>
        </w:rPr>
      </w:r>
      <w:r/>
    </w:p>
    <w:p>
      <w:pPr>
        <w:jc w:val="center"/>
        <w:rPr>
          <w:rFonts w:ascii="Arial" w:hAnsi="Arial" w:cs="Arial" w:eastAsia="Arial"/>
          <w:b/>
          <w:bCs/>
          <w:sz w:val="24"/>
          <w:szCs w:val="24"/>
          <w:highlight w:val="none"/>
        </w:rPr>
      </w:pPr>
      <w:r>
        <w:rPr>
          <w:rFonts w:ascii="Arial" w:hAnsi="Arial" w:cs="Arial" w:eastAsia="Arial"/>
          <w:b/>
          <w:sz w:val="24"/>
          <w:highlight w:val="none"/>
        </w:rPr>
        <w:t xml:space="preserve">***</w:t>
      </w:r>
      <w:r>
        <w:rPr>
          <w:rFonts w:ascii="Arial" w:hAnsi="Arial" w:cs="Arial" w:eastAsia="Arial"/>
          <w:b/>
          <w:bCs/>
          <w:sz w:val="24"/>
          <w:szCs w:val="24"/>
          <w:highlight w:val="none"/>
        </w:rPr>
      </w:r>
      <w:r/>
    </w:p>
    <w:sectPr>
      <w:headerReference w:type="default" r:id="rId9"/>
      <w:footerReference w:type="default" r:id="rId10"/>
      <w:footnotePr/>
      <w:endnotePr/>
      <w:type w:val="nextPage"/>
      <w:pgSz w:w="11906" w:h="16838" w:orient="portrait"/>
      <w:pgMar w:top="1134" w:right="1134" w:bottom="1134" w:left="1134"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mes New Roman">
    <w:panose1 w:val="02020603050405020304"/>
  </w:font>
  <w:font w:name="Wingdings">
    <w:panose1 w:val="05010000000000000000"/>
  </w:font>
  <w:font w:name="Symbol">
    <w:panose1 w:val="05010000000000000000"/>
  </w:font>
  <w:font w:name="Arial">
    <w:panose1 w:val="020B0604020202020204"/>
  </w:font>
  <w:font w:name="SimSun">
    <w:panose1 w:val="02020603020101020101"/>
  </w:font>
  <w:font w:name="Courier New">
    <w:panose1 w:val="02070309020205020404"/>
  </w:font>
  <w:font w:name="Mangal">
    <w:panose1 w:val="02020603050405020304"/>
  </w:font>
  <w:font w:name="Liberation Serif">
    <w:panose1 w:val="020206030504050203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cs="Arial" w:eastAsia="Arial"/>
        <w:color w:val="000000"/>
        <w:sz w:val="18"/>
        <w:highlight w:val="none"/>
      </w:rPr>
    </w:r>
    <w:r/>
  </w:p>
  <w:p>
    <w:pPr>
      <w:ind w:left="0" w:right="0" w:firstLine="0"/>
      <w:jc w:val="left"/>
      <w:spacing w:before="0" w:after="0"/>
      <w:rPr>
        <w:rFonts w:ascii="Arial" w:hAnsi="Arial" w:cs="Arial" w:eastAsia="Arial"/>
        <w:color w:val="000000"/>
        <w:highlight w:val="none"/>
      </w:rPr>
      <w:pBdr>
        <w:top w:val="none" w:color="000000" w:sz="4" w:space="0"/>
        <w:left w:val="none" w:color="000000" w:sz="4" w:space="0"/>
        <w:bottom w:val="none" w:color="000000" w:sz="4" w:space="0"/>
        <w:right w:val="none" w:color="000000" w:sz="4" w:space="0"/>
      </w:pBdr>
    </w:pPr>
    <w:r>
      <w:rPr>
        <w:rFonts w:ascii="Arial" w:hAnsi="Arial" w:cs="Arial" w:eastAsia="Arial"/>
        <w:color w:val="000000"/>
        <w:sz w:val="18"/>
      </w:rPr>
      <w:t xml:space="preserve">Proposta di </w:t>
    </w:r>
    <w:r>
      <w:rPr>
        <w:rFonts w:ascii="Arial" w:hAnsi="Arial" w:cs="Arial" w:eastAsia="Arial"/>
        <w:color w:val="000000"/>
        <w:sz w:val="18"/>
      </w:rPr>
      <w:t xml:space="preserve">Delibera di Consiglio</w:t>
    </w:r>
    <w:r>
      <w:rPr>
        <w:rFonts w:ascii="Arial" w:hAnsi="Arial" w:cs="Arial" w:eastAsia="Arial"/>
        <w:color w:val="000000"/>
        <w:sz w:val="18"/>
      </w:rPr>
      <w:t xml:space="preserve"> n. 883 del 23/07/2026</w:t>
    </w:r>
    <w:r>
      <w:rPr>
        <w:rFonts w:ascii="Arial" w:hAnsi="Arial" w:cs="Arial" w:eastAsia="Arial"/>
        <w:color w:val="000000"/>
        <w:highlight w:val="none"/>
      </w:rPr>
    </w:r>
    <w:r/>
  </w:p>
  <w:p>
    <w:pPr>
      <w:pStyle w:val="741"/>
      <w:jc w:val="right"/>
      <w:rPr>
        <w:rFonts w:ascii="Arial" w:hAnsi="Arial" w:cs="Arial" w:eastAsia="Arial"/>
        <w:highlight w:val="none"/>
      </w:rPr>
    </w:pPr>
    <w:r>
      <w:rPr>
        <w:rFonts w:ascii="Arial" w:hAnsi="Arial" w:cs="Arial" w:eastAsia="Arial"/>
        <w:sz w:val="18"/>
      </w:rPr>
      <w:t xml:space="preserve">Pag. </w:t>
    </w:r>
    <w:fldSimple w:instr="PAGE \* MERGEFORMAT">
      <w:r>
        <w:rPr>
          <w:rFonts w:ascii="Arial" w:hAnsi="Arial" w:cs="Arial" w:eastAsia="Arial"/>
          <w:sz w:val="18"/>
        </w:rPr>
        <w:t xml:space="preserve">1</w:t>
      </w:r>
    </w:fldSimple>
    <w:r>
      <w:rPr>
        <w:rFonts w:ascii="Arial" w:hAnsi="Arial" w:cs="Arial" w:eastAsia="Arial"/>
        <w:sz w:val="18"/>
      </w:rPr>
    </w:r>
    <w:r>
      <w:rPr>
        <w:rFonts w:ascii="Arial" w:hAnsi="Arial" w:cs="Arial" w:eastAsia="Arial"/>
        <w:highlight w:val="none"/>
      </w:rPr>
    </w:r>
    <w:r/>
  </w:p>
  <w:p>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9"/>
    </w:pPr>
    <w:r/>
    <w:r/>
  </w:p>
  <w:p>
    <w:r>
      <w:rPr>
        <w:rFonts w:ascii="Times New Roman" w:hAnsi="Times New Roman" w:cs="Times New Roman" w:eastAsia="Times New Roman"/>
        <w:lang w:bidi="ar-SA" w:eastAsia="it-IT"/>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-226695</wp:posOffset>
              </wp:positionH>
              <wp:positionV relativeFrom="paragraph">
                <wp:posOffset>-144145</wp:posOffset>
              </wp:positionV>
              <wp:extent cx="1444625" cy="1776730"/>
              <wp:effectExtent l="0" t="0" r="0" b="0"/>
              <wp:wrapNone/>
              <wp:docPr id="1" name="Immagine 1" descr="logo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80020" name="Immagine 1" descr="logo1" hidden="0"/>
                      <pic:cNvPicPr>
                        <a:picLocks noChangeAspect="1"/>
                      </pic:cNvPicPr>
                      <pic:nvPr isPhoto="0" userDrawn="0"/>
                    </pic:nvPicPr>
                    <pic:blipFill>
                      <a:blip r:embed="rId1"/>
                      <a:stretch/>
                    </pic:blipFill>
                    <pic:spPr bwMode="auto">
                      <a:xfrm rot="0" flipH="0" flipV="0">
                        <a:off x="0" y="0"/>
                        <a:ext cx="1444624" cy="1776729"/>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text;margin-left:-17.8pt;mso-position-horizontal:absolute;mso-position-vertical-relative:text;margin-top:-11.3pt;mso-position-vertical:absolute;width:113.8pt;height:139.9pt;rotation:0;" stroked="false">
              <v:path textboxrect="0,0,0,0"/>
              <v:imagedata r:id="rId1" o:title=""/>
            </v:shape>
          </w:pict>
        </mc:Fallback>
      </mc:AlternateContent>
    </w:r>
    <w:r/>
  </w:p>
  <w:p>
    <w:pPr>
      <w:pStyle w:val="782"/>
    </w:pPr>
    <w:r/>
    <w:r/>
  </w:p>
  <w:p>
    <w:r/>
    <w:r/>
  </w:p>
  <w:p>
    <w:r/>
    <w:r/>
  </w:p>
  <w:p>
    <w:r/>
    <w:r/>
  </w:p>
  <w:p>
    <w:r/>
    <w:r/>
  </w:p>
  <w:p>
    <w: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lowerLetter"/>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
    <w:multiLevelType w:val="hybridMultilevel"/>
    <w:lvl w:ilvl="0">
      <w:start w:val="1"/>
      <w:numFmt w:val="decimal"/>
      <w:isLgl w:val="false"/>
      <w:suff w:val="tab"/>
      <w:lvlText w:val="%1."/>
      <w:lvlJc w:val="left"/>
      <w:pPr>
        <w:ind w:left="720" w:hanging="360"/>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lowerLetter"/>
      <w:isLgl w:val="false"/>
      <w:suff w:val="tab"/>
      <w:lvlText w:val="%3)"/>
      <w:lvlJc w:val="left"/>
      <w:pPr>
        <w:ind w:left="2160" w:hanging="360"/>
      </w:pPr>
    </w:lvl>
    <w:lvl w:ilvl="3">
      <w:start w:val="1"/>
      <w:numFmt w:val="decimal"/>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decimal"/>
      <w:isLgl w:val="false"/>
      <w:suff w:val="tab"/>
      <w:lvlText w:val="%6."/>
      <w:lvlJc w:val="left"/>
      <w:pPr>
        <w:ind w:left="4320" w:hanging="360"/>
      </w:pPr>
    </w:lvl>
    <w:lvl w:ilvl="6">
      <w:start w:val="1"/>
      <w:numFmt w:val="decimal"/>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decimal"/>
      <w:isLgl w:val="false"/>
      <w:suff w:val="tab"/>
      <w:lvlText w:val="%9."/>
      <w:lvlJc w:val="left"/>
      <w:pPr>
        <w:ind w:left="6480" w:hanging="360"/>
      </w:pPr>
    </w:lvl>
  </w:abstractNum>
  <w:abstractNum w:abstractNumId="4">
    <w:multiLevelType w:val="hybridMultilevel"/>
    <w:lvl w:ilvl="0">
      <w:start w:val="1"/>
      <w:numFmt w:val="lowerLetter"/>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hAnsi="Liberation Serif" w:cs="Mangal" w:eastAsia="SimSun" w:hint="default"/>
        <w:sz w:val="24"/>
        <w:szCs w:val="24"/>
        <w:lang w:val="it-IT" w:bidi="hi-IN"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
    <w:name w:val="Normal"/>
    <w:qFormat/>
  </w:style>
  <w:style w:type="character" w:styleId="9">
    <w:name w:val="Default Paragraph Font"/>
    <w:uiPriority w:val="1"/>
    <w:semiHidden/>
    <w:unhideWhenUsed/>
  </w:style>
  <w:style w:type="numbering" w:styleId="10">
    <w:name w:val="No List"/>
    <w:uiPriority w:val="99"/>
    <w:semiHidden/>
    <w:unhideWhenUsed/>
  </w:style>
  <w:style w:type="paragraph" w:styleId="11">
    <w:name w:val="Heading 1"/>
    <w:basedOn w:val="8"/>
    <w:next w:val="8"/>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9"/>
    <w:link w:val="11"/>
    <w:uiPriority w:val="9"/>
    <w:rPr>
      <w:rFonts w:ascii="Arial" w:hAnsi="Arial" w:cs="Arial" w:eastAsia="Arial"/>
      <w:sz w:val="40"/>
      <w:szCs w:val="40"/>
    </w:rPr>
  </w:style>
  <w:style w:type="paragraph" w:styleId="13">
    <w:name w:val="Heading 2"/>
    <w:basedOn w:val="8"/>
    <w:next w:val="8"/>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9"/>
    <w:link w:val="13"/>
    <w:uiPriority w:val="9"/>
    <w:rPr>
      <w:rFonts w:ascii="Arial" w:hAnsi="Arial" w:cs="Arial" w:eastAsia="Arial"/>
      <w:sz w:val="34"/>
    </w:rPr>
  </w:style>
  <w:style w:type="paragraph" w:styleId="15">
    <w:name w:val="Heading 3"/>
    <w:basedOn w:val="8"/>
    <w:next w:val="8"/>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9"/>
    <w:link w:val="15"/>
    <w:uiPriority w:val="9"/>
    <w:rPr>
      <w:rFonts w:ascii="Arial" w:hAnsi="Arial" w:cs="Arial" w:eastAsia="Arial"/>
      <w:sz w:val="30"/>
      <w:szCs w:val="30"/>
    </w:rPr>
  </w:style>
  <w:style w:type="paragraph" w:styleId="17">
    <w:name w:val="Heading 4"/>
    <w:basedOn w:val="8"/>
    <w:next w:val="8"/>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8"/>
    <w:next w:val="8"/>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8"/>
    <w:next w:val="8"/>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8"/>
    <w:next w:val="8"/>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8"/>
    <w:next w:val="8"/>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8"/>
    <w:next w:val="8"/>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8"/>
    <w:uiPriority w:val="34"/>
    <w:qFormat/>
    <w:pPr>
      <w:contextualSpacing/>
      <w:ind w:left="720"/>
    </w:pPr>
  </w:style>
  <w:style w:type="table" w:styleId="30">
    <w:name w:val="Normal Table"/>
    <w:uiPriority w:val="99"/>
    <w:semiHidden/>
    <w:unhideWhenUsed/>
    <w:tblPr>
      <w:tblInd w:w="0" w:type="dxa"/>
      <w:tblCellMar>
        <w:left w:w="108" w:type="dxa"/>
        <w:top w:w="0" w:type="dxa"/>
        <w:right w:w="108" w:type="dxa"/>
        <w:bottom w:w="0" w:type="dxa"/>
      </w:tblCellMar>
    </w:tblPr>
  </w:style>
  <w:style w:type="paragraph" w:styleId="31">
    <w:name w:val="No Spacing"/>
    <w:uiPriority w:val="1"/>
    <w:qFormat/>
    <w:pPr>
      <w:spacing w:before="0" w:after="0" w:line="240" w:lineRule="auto"/>
    </w:pPr>
  </w:style>
  <w:style w:type="paragraph" w:styleId="32">
    <w:name w:val="Title"/>
    <w:basedOn w:val="8"/>
    <w:next w:val="8"/>
    <w:link w:val="33"/>
    <w:uiPriority w:val="10"/>
    <w:qFormat/>
    <w:pPr>
      <w:contextualSpacing/>
      <w:spacing w:before="300" w:after="200"/>
    </w:pPr>
    <w:rPr>
      <w:sz w:val="48"/>
      <w:szCs w:val="48"/>
    </w:rPr>
  </w:style>
  <w:style w:type="character" w:styleId="33">
    <w:name w:val="Title Char"/>
    <w:basedOn w:val="9"/>
    <w:link w:val="32"/>
    <w:uiPriority w:val="10"/>
    <w:rPr>
      <w:sz w:val="48"/>
      <w:szCs w:val="48"/>
    </w:rPr>
  </w:style>
  <w:style w:type="paragraph" w:styleId="34">
    <w:name w:val="Subtitle"/>
    <w:basedOn w:val="8"/>
    <w:next w:val="8"/>
    <w:link w:val="35"/>
    <w:uiPriority w:val="11"/>
    <w:qFormat/>
    <w:pPr>
      <w:spacing w:before="200" w:after="200"/>
    </w:pPr>
    <w:rPr>
      <w:sz w:val="24"/>
      <w:szCs w:val="24"/>
    </w:rPr>
  </w:style>
  <w:style w:type="character" w:styleId="35">
    <w:name w:val="Subtitle Char"/>
    <w:basedOn w:val="9"/>
    <w:link w:val="34"/>
    <w:uiPriority w:val="11"/>
    <w:rPr>
      <w:sz w:val="24"/>
      <w:szCs w:val="24"/>
    </w:rPr>
  </w:style>
  <w:style w:type="paragraph" w:styleId="36">
    <w:name w:val="Quote"/>
    <w:basedOn w:val="8"/>
    <w:next w:val="8"/>
    <w:link w:val="37"/>
    <w:uiPriority w:val="29"/>
    <w:qFormat/>
    <w:pPr>
      <w:ind w:left="720" w:right="720"/>
    </w:pPr>
    <w:rPr>
      <w:i/>
    </w:rPr>
  </w:style>
  <w:style w:type="character" w:styleId="37">
    <w:name w:val="Quote Char"/>
    <w:link w:val="36"/>
    <w:uiPriority w:val="29"/>
    <w:rPr>
      <w:i/>
    </w:rPr>
  </w:style>
  <w:style w:type="paragraph" w:styleId="38">
    <w:name w:val="Intense Quote"/>
    <w:basedOn w:val="8"/>
    <w:next w:val="8"/>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8"/>
    <w:link w:val="41"/>
    <w:uiPriority w:val="99"/>
    <w:unhideWhenUsed/>
    <w:pPr>
      <w:spacing w:after="0" w:line="240" w:lineRule="auto"/>
      <w:tabs>
        <w:tab w:val="center" w:pos="7143" w:leader="none"/>
        <w:tab w:val="right" w:pos="14287" w:leader="none"/>
      </w:tabs>
    </w:pPr>
  </w:style>
  <w:style w:type="character" w:styleId="41">
    <w:name w:val="Header Char"/>
    <w:basedOn w:val="9"/>
    <w:link w:val="40"/>
    <w:uiPriority w:val="99"/>
  </w:style>
  <w:style w:type="paragraph" w:styleId="42">
    <w:name w:val="Footer"/>
    <w:basedOn w:val="8"/>
    <w:link w:val="45"/>
    <w:uiPriority w:val="99"/>
    <w:unhideWhenUsed/>
    <w:pPr>
      <w:spacing w:after="0" w:line="240" w:lineRule="auto"/>
      <w:tabs>
        <w:tab w:val="center" w:pos="7143" w:leader="none"/>
        <w:tab w:val="right" w:pos="14287" w:leader="none"/>
      </w:tabs>
    </w:pPr>
  </w:style>
  <w:style w:type="character" w:styleId="43">
    <w:name w:val="Footer Char"/>
    <w:basedOn w:val="9"/>
    <w:link w:val="42"/>
    <w:uiPriority w:val="99"/>
  </w:style>
  <w:style w:type="paragraph" w:styleId="44">
    <w:name w:val="Caption"/>
    <w:basedOn w:val="8"/>
    <w:next w:val="8"/>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paragraph" w:styleId="173">
    <w:name w:val="footnote text"/>
    <w:basedOn w:val="8"/>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8"/>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8"/>
    <w:next w:val="8"/>
    <w:uiPriority w:val="39"/>
    <w:unhideWhenUsed/>
    <w:pPr>
      <w:ind w:left="0" w:right="0" w:firstLine="0"/>
      <w:spacing w:after="57"/>
    </w:pPr>
  </w:style>
  <w:style w:type="paragraph" w:styleId="180">
    <w:name w:val="toc 2"/>
    <w:basedOn w:val="8"/>
    <w:next w:val="8"/>
    <w:uiPriority w:val="39"/>
    <w:unhideWhenUsed/>
    <w:pPr>
      <w:ind w:left="283" w:right="0" w:firstLine="0"/>
      <w:spacing w:after="57"/>
    </w:pPr>
  </w:style>
  <w:style w:type="paragraph" w:styleId="181">
    <w:name w:val="toc 3"/>
    <w:basedOn w:val="8"/>
    <w:next w:val="8"/>
    <w:uiPriority w:val="39"/>
    <w:unhideWhenUsed/>
    <w:pPr>
      <w:ind w:left="567" w:right="0" w:firstLine="0"/>
      <w:spacing w:after="57"/>
    </w:pPr>
  </w:style>
  <w:style w:type="paragraph" w:styleId="182">
    <w:name w:val="toc 4"/>
    <w:basedOn w:val="8"/>
    <w:next w:val="8"/>
    <w:uiPriority w:val="39"/>
    <w:unhideWhenUsed/>
    <w:pPr>
      <w:ind w:left="850" w:right="0" w:firstLine="0"/>
      <w:spacing w:after="57"/>
    </w:pPr>
  </w:style>
  <w:style w:type="paragraph" w:styleId="183">
    <w:name w:val="toc 5"/>
    <w:basedOn w:val="8"/>
    <w:next w:val="8"/>
    <w:uiPriority w:val="39"/>
    <w:unhideWhenUsed/>
    <w:pPr>
      <w:ind w:left="1134" w:right="0" w:firstLine="0"/>
      <w:spacing w:after="57"/>
    </w:pPr>
  </w:style>
  <w:style w:type="paragraph" w:styleId="184">
    <w:name w:val="toc 6"/>
    <w:basedOn w:val="8"/>
    <w:next w:val="8"/>
    <w:uiPriority w:val="39"/>
    <w:unhideWhenUsed/>
    <w:pPr>
      <w:ind w:left="1417" w:right="0" w:firstLine="0"/>
      <w:spacing w:after="57"/>
    </w:pPr>
  </w:style>
  <w:style w:type="paragraph" w:styleId="185">
    <w:name w:val="toc 7"/>
    <w:basedOn w:val="8"/>
    <w:next w:val="8"/>
    <w:uiPriority w:val="39"/>
    <w:unhideWhenUsed/>
    <w:pPr>
      <w:ind w:left="1701" w:right="0" w:firstLine="0"/>
      <w:spacing w:after="57"/>
    </w:pPr>
  </w:style>
  <w:style w:type="paragraph" w:styleId="186">
    <w:name w:val="toc 8"/>
    <w:basedOn w:val="8"/>
    <w:next w:val="8"/>
    <w:uiPriority w:val="39"/>
    <w:unhideWhenUsed/>
    <w:pPr>
      <w:ind w:left="1984" w:right="0" w:firstLine="0"/>
      <w:spacing w:after="57"/>
    </w:pPr>
  </w:style>
  <w:style w:type="paragraph" w:styleId="187">
    <w:name w:val="toc 9"/>
    <w:basedOn w:val="8"/>
    <w:next w:val="8"/>
    <w:uiPriority w:val="39"/>
    <w:unhideWhenUsed/>
    <w:pPr>
      <w:ind w:left="2268" w:right="0" w:firstLine="0"/>
      <w:spacing w:after="57"/>
    </w:pPr>
  </w:style>
  <w:style w:type="paragraph" w:styleId="188">
    <w:name w:val="TOC Heading"/>
    <w:uiPriority w:val="39"/>
    <w:unhideWhenUsed/>
  </w:style>
  <w:style w:type="paragraph" w:styleId="189">
    <w:name w:val="table of figures"/>
    <w:basedOn w:val="8"/>
    <w:next w:val="8"/>
    <w:uiPriority w:val="99"/>
    <w:unhideWhenUsed/>
    <w:pPr>
      <w:spacing w:after="0" w:afterAutospacing="0"/>
    </w:pPr>
  </w:style>
  <w:style w:type="paragraph" w:styleId="739">
    <w:name w:val="Header c70d3d1a35074f381a8e5c83bfbc0eb6"/>
    <w:basedOn w:val="754"/>
    <w:link w:val="740"/>
    <w:uiPriority w:val="99"/>
    <w:unhideWhenUsed/>
    <w:pPr>
      <w:spacing w:after="0" w:line="240" w:lineRule="auto"/>
      <w:tabs>
        <w:tab w:val="center" w:pos="7143" w:leader="none"/>
        <w:tab w:val="right" w:pos="14287" w:leader="none"/>
      </w:tabs>
    </w:pPr>
  </w:style>
  <w:style w:type="character" w:styleId="740">
    <w:name w:val="Header Char c70d3d1a35074f381a8e5c83bfbc0eb6"/>
    <w:link w:val="739"/>
    <w:uiPriority w:val="99"/>
  </w:style>
  <w:style w:type="paragraph" w:styleId="741">
    <w:name w:val="Footer c70d3d1a35074f381a8e5c83bfbc0eb6"/>
    <w:basedOn w:val="754"/>
    <w:link w:val="743"/>
    <w:uiPriority w:val="99"/>
    <w:unhideWhenUsed/>
    <w:pPr>
      <w:spacing w:after="0" w:line="240" w:lineRule="auto"/>
      <w:tabs>
        <w:tab w:val="center" w:pos="7143" w:leader="none"/>
        <w:tab w:val="right" w:pos="14287" w:leader="none"/>
      </w:tabs>
    </w:pPr>
  </w:style>
  <w:style w:type="character" w:styleId="742">
    <w:name w:val="Footer Char c70d3d1a35074f381a8e5c83bfbc0eb6"/>
    <w:link w:val="741"/>
    <w:uiPriority w:val="99"/>
  </w:style>
  <w:style w:type="character" w:styleId="743">
    <w:name w:val="Caption Char c70d3d1a35074f381a8e5c83bfbc0eb6"/>
    <w:link w:val="741"/>
    <w:uiPriority w:val="99"/>
  </w:style>
  <w:style w:type="character" w:styleId="744">
    <w:name w:val="Hyperlink c70d3d1a35074f381a8e5c83bfbc0eb6"/>
    <w:uiPriority w:val="99"/>
    <w:unhideWhenUsed/>
    <w:rPr>
      <w:color w:val="0000FF" w:themeColor="hyperlink"/>
      <w:u w:val="single"/>
    </w:rPr>
  </w:style>
  <w:style w:type="paragraph" w:styleId="745">
    <w:name w:val="toc 1 c70d3d1a35074f381a8e5c83bfbc0eb6"/>
    <w:basedOn w:val="754"/>
    <w:uiPriority w:val="39"/>
    <w:unhideWhenUsed/>
    <w:pPr>
      <w:ind w:left="0" w:right="0" w:firstLine="0"/>
      <w:spacing w:after="57"/>
    </w:pPr>
  </w:style>
  <w:style w:type="paragraph" w:styleId="746">
    <w:name w:val="toc 2 c70d3d1a35074f381a8e5c83bfbc0eb6"/>
    <w:basedOn w:val="754"/>
    <w:uiPriority w:val="39"/>
    <w:unhideWhenUsed/>
    <w:pPr>
      <w:ind w:left="283" w:right="0" w:firstLine="0"/>
      <w:spacing w:after="57"/>
    </w:pPr>
  </w:style>
  <w:style w:type="paragraph" w:styleId="747">
    <w:name w:val="toc 3 c70d3d1a35074f381a8e5c83bfbc0eb6"/>
    <w:basedOn w:val="754"/>
    <w:uiPriority w:val="39"/>
    <w:unhideWhenUsed/>
    <w:pPr>
      <w:ind w:left="567" w:right="0" w:firstLine="0"/>
      <w:spacing w:after="57"/>
    </w:pPr>
  </w:style>
  <w:style w:type="paragraph" w:styleId="748">
    <w:name w:val="toc 4 c70d3d1a35074f381a8e5c83bfbc0eb6"/>
    <w:basedOn w:val="754"/>
    <w:uiPriority w:val="39"/>
    <w:unhideWhenUsed/>
    <w:pPr>
      <w:ind w:left="850" w:right="0" w:firstLine="0"/>
      <w:spacing w:after="57"/>
    </w:pPr>
  </w:style>
  <w:style w:type="paragraph" w:styleId="749">
    <w:name w:val="toc 5 c70d3d1a35074f381a8e5c83bfbc0eb6"/>
    <w:basedOn w:val="754"/>
    <w:uiPriority w:val="39"/>
    <w:unhideWhenUsed/>
    <w:pPr>
      <w:ind w:left="1134" w:right="0" w:firstLine="0"/>
      <w:spacing w:after="57"/>
    </w:pPr>
  </w:style>
  <w:style w:type="paragraph" w:styleId="750">
    <w:name w:val="toc 6 c70d3d1a35074f381a8e5c83bfbc0eb6"/>
    <w:basedOn w:val="754"/>
    <w:uiPriority w:val="39"/>
    <w:unhideWhenUsed/>
    <w:pPr>
      <w:ind w:left="1417" w:right="0" w:firstLine="0"/>
      <w:spacing w:after="57"/>
    </w:pPr>
  </w:style>
  <w:style w:type="paragraph" w:styleId="751">
    <w:name w:val="toc 7 c70d3d1a35074f381a8e5c83bfbc0eb6"/>
    <w:basedOn w:val="754"/>
    <w:uiPriority w:val="39"/>
    <w:unhideWhenUsed/>
    <w:pPr>
      <w:ind w:left="1701" w:right="0" w:firstLine="0"/>
      <w:spacing w:after="57"/>
    </w:pPr>
  </w:style>
  <w:style w:type="paragraph" w:styleId="752">
    <w:name w:val="toc 8 c70d3d1a35074f381a8e5c83bfbc0eb6"/>
    <w:basedOn w:val="754"/>
    <w:uiPriority w:val="39"/>
    <w:unhideWhenUsed/>
    <w:pPr>
      <w:ind w:left="1984" w:right="0" w:firstLine="0"/>
      <w:spacing w:after="57"/>
    </w:pPr>
  </w:style>
  <w:style w:type="paragraph" w:styleId="753">
    <w:name w:val="toc 9 c70d3d1a35074f381a8e5c83bfbc0eb6"/>
    <w:basedOn w:val="754"/>
    <w:uiPriority w:val="39"/>
    <w:unhideWhenUsed/>
    <w:pPr>
      <w:ind w:left="2268" w:right="0" w:firstLine="0"/>
      <w:spacing w:after="57"/>
    </w:pPr>
  </w:style>
  <w:style w:type="paragraph" w:styleId="754" w:default="1">
    <w:name w:val="Normal c70d3d1a35074f381a8e5c83bfbc0eb6"/>
    <w:qFormat/>
    <w:pPr>
      <w:widowControl w:val="off"/>
    </w:pPr>
    <w:rPr>
      <w:rFonts w:ascii="Liberation Serif" w:hAnsi="Liberation Serif" w:cs="Mangal" w:eastAsia="SimSun"/>
      <w:color w:val="auto"/>
      <w:sz w:val="24"/>
      <w:szCs w:val="24"/>
      <w:lang w:val="it-IT" w:bidi="hi-IN" w:eastAsia="zh-CN"/>
    </w:rPr>
  </w:style>
  <w:style w:type="character" w:styleId="755" w:default="1">
    <w:name w:val="Default Paragraph Font c70d3d1a35074f381a8e5c83bfbc0eb6"/>
    <w:uiPriority w:val="1"/>
    <w:semiHidden/>
    <w:unhideWhenUsed/>
  </w:style>
  <w:style w:type="numbering" w:styleId="756" w:default="1">
    <w:name w:val="No List c70d3d1a35074f381a8e5c83bfbc0eb6"/>
    <w:uiPriority w:val="99"/>
    <w:semiHidden/>
    <w:unhideWhenUsed/>
  </w:style>
  <w:style w:type="table" w:styleId="757" w:default="1">
    <w:name w:val="Normal Table c70d3d1a35074f381a8e5c83bfbc0eb6"/>
    <w:uiPriority w:val="99"/>
    <w:semiHidden/>
    <w:unhideWhenUsed/>
    <w:tblPr/>
  </w:style>
  <w:style w:type="character" w:styleId="758">
    <w:name w:val="Hyperlink 270b1c8e751052008e7ffde20125a255"/>
    <w:uiPriority w:val="99"/>
    <w:unhideWhenUsed/>
    <w:rPr>
      <w:color w:val="0000FF" w:themeColor="hyperlink"/>
      <w:u w:val="single"/>
    </w:rPr>
  </w:style>
  <w:style w:type="paragraph" w:styleId="759">
    <w:name w:val="toc 1 270b1c8e751052008e7ffde20125a255"/>
    <w:basedOn w:val="768"/>
    <w:uiPriority w:val="39"/>
    <w:unhideWhenUsed/>
    <w:pPr>
      <w:ind w:left="0" w:right="0" w:firstLine="0"/>
      <w:spacing w:after="57"/>
    </w:pPr>
  </w:style>
  <w:style w:type="paragraph" w:styleId="760">
    <w:name w:val="toc 2 270b1c8e751052008e7ffde20125a255"/>
    <w:basedOn w:val="768"/>
    <w:uiPriority w:val="39"/>
    <w:unhideWhenUsed/>
    <w:pPr>
      <w:ind w:left="283" w:right="0" w:firstLine="0"/>
      <w:spacing w:after="57"/>
    </w:pPr>
  </w:style>
  <w:style w:type="paragraph" w:styleId="761">
    <w:name w:val="toc 3 270b1c8e751052008e7ffde20125a255"/>
    <w:basedOn w:val="768"/>
    <w:uiPriority w:val="39"/>
    <w:unhideWhenUsed/>
    <w:pPr>
      <w:ind w:left="567" w:right="0" w:firstLine="0"/>
      <w:spacing w:after="57"/>
    </w:pPr>
  </w:style>
  <w:style w:type="paragraph" w:styleId="762">
    <w:name w:val="toc 4 270b1c8e751052008e7ffde20125a255"/>
    <w:basedOn w:val="768"/>
    <w:uiPriority w:val="39"/>
    <w:unhideWhenUsed/>
    <w:pPr>
      <w:ind w:left="850" w:right="0" w:firstLine="0"/>
      <w:spacing w:after="57"/>
    </w:pPr>
  </w:style>
  <w:style w:type="paragraph" w:styleId="763">
    <w:name w:val="toc 5 270b1c8e751052008e7ffde20125a255"/>
    <w:basedOn w:val="768"/>
    <w:uiPriority w:val="39"/>
    <w:unhideWhenUsed/>
    <w:pPr>
      <w:ind w:left="1134" w:right="0" w:firstLine="0"/>
      <w:spacing w:after="57"/>
    </w:pPr>
  </w:style>
  <w:style w:type="paragraph" w:styleId="764">
    <w:name w:val="toc 6 270b1c8e751052008e7ffde20125a255"/>
    <w:basedOn w:val="768"/>
    <w:uiPriority w:val="39"/>
    <w:unhideWhenUsed/>
    <w:pPr>
      <w:ind w:left="1417" w:right="0" w:firstLine="0"/>
      <w:spacing w:after="57"/>
    </w:pPr>
  </w:style>
  <w:style w:type="paragraph" w:styleId="765">
    <w:name w:val="toc 7 270b1c8e751052008e7ffde20125a255"/>
    <w:basedOn w:val="768"/>
    <w:uiPriority w:val="39"/>
    <w:unhideWhenUsed/>
    <w:pPr>
      <w:ind w:left="1701" w:right="0" w:firstLine="0"/>
      <w:spacing w:after="57"/>
    </w:pPr>
  </w:style>
  <w:style w:type="paragraph" w:styleId="766">
    <w:name w:val="toc 8 270b1c8e751052008e7ffde20125a255"/>
    <w:basedOn w:val="768"/>
    <w:uiPriority w:val="39"/>
    <w:unhideWhenUsed/>
    <w:pPr>
      <w:ind w:left="1984" w:right="0" w:firstLine="0"/>
      <w:spacing w:after="57"/>
    </w:pPr>
  </w:style>
  <w:style w:type="paragraph" w:styleId="767">
    <w:name w:val="toc 9 270b1c8e751052008e7ffde20125a255"/>
    <w:basedOn w:val="768"/>
    <w:uiPriority w:val="39"/>
    <w:unhideWhenUsed/>
    <w:pPr>
      <w:ind w:left="2268" w:right="0" w:firstLine="0"/>
      <w:spacing w:after="57"/>
    </w:pPr>
  </w:style>
  <w:style w:type="paragraph" w:styleId="768">
    <w:name w:val="Normal 270b1c8e751052008e7ffde20125a255"/>
    <w:pPr>
      <w:widowControl w:val="off"/>
    </w:pPr>
    <w:rPr>
      <w:rFonts w:ascii="Liberation Serif" w:hAnsi="Liberation Serif" w:cs="Mangal" w:eastAsia="SimSun"/>
      <w:color w:val="auto"/>
      <w:sz w:val="24"/>
      <w:szCs w:val="24"/>
      <w:lang w:val="it-IT" w:bidi="hi-IN" w:eastAsia="zh-CN"/>
    </w:rPr>
  </w:style>
  <w:style w:type="character" w:styleId="769">
    <w:name w:val="Default Paragraph Font 270b1c8e751052008e7ffde20125a255"/>
    <w:uiPriority w:val="1"/>
    <w:semiHidden/>
    <w:unhideWhenUsed/>
  </w:style>
  <w:style w:type="numbering" w:styleId="770">
    <w:name w:val="No List 270b1c8e751052008e7ffde20125a255"/>
    <w:uiPriority w:val="99"/>
    <w:semiHidden/>
    <w:unhideWhenUsed/>
  </w:style>
  <w:style w:type="table" w:styleId="771">
    <w:name w:val="Normal Table 270b1c8e751052008e7ffde20125a255"/>
    <w:uiPriority w:val="99"/>
    <w:semiHidden/>
    <w:unhideWhenUsed/>
    <w:tblPr/>
  </w:style>
  <w:style w:type="character" w:styleId="772">
    <w:name w:val="Hyperlink 3a695682d651290bb1a7b3a671f6d4b9"/>
    <w:uiPriority w:val="99"/>
    <w:unhideWhenUsed/>
    <w:rPr>
      <w:color w:val="0000FF" w:themeColor="hyperlink"/>
      <w:u w:val="single"/>
    </w:rPr>
  </w:style>
  <w:style w:type="paragraph" w:styleId="773">
    <w:name w:val="toc 1 3a695682d651290bb1a7b3a671f6d4b9"/>
    <w:basedOn w:val="782"/>
    <w:uiPriority w:val="39"/>
    <w:unhideWhenUsed/>
    <w:pPr>
      <w:ind w:left="0" w:right="0" w:firstLine="0"/>
      <w:spacing w:after="57"/>
    </w:pPr>
  </w:style>
  <w:style w:type="paragraph" w:styleId="774">
    <w:name w:val="toc 2 3a695682d651290bb1a7b3a671f6d4b9"/>
    <w:basedOn w:val="782"/>
    <w:uiPriority w:val="39"/>
    <w:unhideWhenUsed/>
    <w:pPr>
      <w:ind w:left="283" w:right="0" w:firstLine="0"/>
      <w:spacing w:after="57"/>
    </w:pPr>
  </w:style>
  <w:style w:type="paragraph" w:styleId="775">
    <w:name w:val="toc 3 3a695682d651290bb1a7b3a671f6d4b9"/>
    <w:basedOn w:val="782"/>
    <w:uiPriority w:val="39"/>
    <w:unhideWhenUsed/>
    <w:pPr>
      <w:ind w:left="567" w:right="0" w:firstLine="0"/>
      <w:spacing w:after="57"/>
    </w:pPr>
  </w:style>
  <w:style w:type="paragraph" w:styleId="776">
    <w:name w:val="toc 4 3a695682d651290bb1a7b3a671f6d4b9"/>
    <w:basedOn w:val="782"/>
    <w:uiPriority w:val="39"/>
    <w:unhideWhenUsed/>
    <w:pPr>
      <w:ind w:left="850" w:right="0" w:firstLine="0"/>
      <w:spacing w:after="57"/>
    </w:pPr>
  </w:style>
  <w:style w:type="paragraph" w:styleId="777">
    <w:name w:val="toc 5 3a695682d651290bb1a7b3a671f6d4b9"/>
    <w:basedOn w:val="782"/>
    <w:uiPriority w:val="39"/>
    <w:unhideWhenUsed/>
    <w:pPr>
      <w:ind w:left="1134" w:right="0" w:firstLine="0"/>
      <w:spacing w:after="57"/>
    </w:pPr>
  </w:style>
  <w:style w:type="paragraph" w:styleId="778">
    <w:name w:val="toc 6 3a695682d651290bb1a7b3a671f6d4b9"/>
    <w:basedOn w:val="782"/>
    <w:uiPriority w:val="39"/>
    <w:unhideWhenUsed/>
    <w:pPr>
      <w:ind w:left="1417" w:right="0" w:firstLine="0"/>
      <w:spacing w:after="57"/>
    </w:pPr>
  </w:style>
  <w:style w:type="paragraph" w:styleId="779">
    <w:name w:val="toc 7 3a695682d651290bb1a7b3a671f6d4b9"/>
    <w:basedOn w:val="782"/>
    <w:uiPriority w:val="39"/>
    <w:unhideWhenUsed/>
    <w:pPr>
      <w:ind w:left="1701" w:right="0" w:firstLine="0"/>
      <w:spacing w:after="57"/>
    </w:pPr>
  </w:style>
  <w:style w:type="paragraph" w:styleId="780">
    <w:name w:val="toc 8 3a695682d651290bb1a7b3a671f6d4b9"/>
    <w:basedOn w:val="782"/>
    <w:uiPriority w:val="39"/>
    <w:unhideWhenUsed/>
    <w:pPr>
      <w:ind w:left="1984" w:right="0" w:firstLine="0"/>
      <w:spacing w:after="57"/>
    </w:pPr>
  </w:style>
  <w:style w:type="paragraph" w:styleId="781">
    <w:name w:val="toc 9 3a695682d651290bb1a7b3a671f6d4b9"/>
    <w:basedOn w:val="782"/>
    <w:uiPriority w:val="39"/>
    <w:unhideWhenUsed/>
    <w:pPr>
      <w:ind w:left="2268" w:right="0" w:firstLine="0"/>
      <w:spacing w:after="57"/>
    </w:pPr>
  </w:style>
  <w:style w:type="paragraph" w:styleId="782">
    <w:name w:val="Normal 3a695682d651290bb1a7b3a671f6d4b9"/>
    <w:pPr>
      <w:widowControl w:val="off"/>
    </w:pPr>
    <w:rPr>
      <w:rFonts w:ascii="Liberation Serif" w:hAnsi="Liberation Serif" w:cs="Mangal" w:eastAsia="SimSun"/>
      <w:color w:val="auto"/>
      <w:sz w:val="24"/>
      <w:szCs w:val="24"/>
      <w:lang w:val="it-IT" w:bidi="hi-IN" w:eastAsia="zh-CN"/>
    </w:rPr>
  </w:style>
  <w:style w:type="character" w:styleId="783">
    <w:name w:val="Default Paragraph Font 3a695682d651290bb1a7b3a671f6d4b9"/>
    <w:uiPriority w:val="1"/>
    <w:semiHidden/>
    <w:unhideWhenUsed/>
  </w:style>
  <w:style w:type="numbering" w:styleId="784">
    <w:name w:val="No List 3a695682d651290bb1a7b3a671f6d4b9"/>
    <w:uiPriority w:val="99"/>
    <w:semiHidden/>
    <w:unhideWhenUsed/>
  </w:style>
  <w:style w:type="table" w:styleId="785">
    <w:name w:val="Normal Table 3a695682d651290bb1a7b3a671f6d4b9"/>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it-IT</dc:language>
  <cp:lastModifiedBy>s.burghiani</cp:lastModifiedBy>
  <cp:revision>14</cp:revision>
  <dcterms:created xsi:type="dcterms:W3CDTF">2016-01-21T15:36:37Z</dcterms:created>
  <dcterms:modified xsi:type="dcterms:W3CDTF">2026-07-24T11:36:33Z</dcterms:modified>
</cp:coreProperties>
</file>