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Tahoma" w:hAnsi="Tahoma" w:cs="Tahoma" w:eastAsia="Times New Roman"/>
          <w:lang w:eastAsia="it-IT"/>
        </w:rPr>
      </w:pPr>
      <w:r>
        <w:rPr>
          <w:rFonts w:ascii="Tahoma" w:hAnsi="Tahoma" w:cs="Tahoma" w:eastAsia="Times New Roman"/>
          <w:b/>
          <w:lang w:eastAsia="it-IT"/>
        </w:rPr>
      </w:r>
      <w:r>
        <w:rPr>
          <w:rFonts w:ascii="Tahoma" w:hAnsi="Tahoma" w:cs="Tahoma" w:eastAsia="Times New Roman"/>
          <w:lang w:eastAsia="it-IT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PROPOSTA DI DELIBERAZIONE</w:t>
      </w:r>
      <w:r>
        <w:rPr>
          <w:rFonts w:ascii="Arial" w:hAnsi="Arial" w:cs="Arial" w:eastAsia="Arial"/>
          <w:sz w:val="24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DEL CONSIGLIO COMUNALE</w:t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highlight w:val="none"/>
          <w:lang w:eastAsia="it-IT"/>
        </w:rPr>
        <w:t xml:space="preserve">n. </w:t>
      </w:r>
      <w:r>
        <w:rPr>
          <w:rFonts w:ascii="Arial" w:hAnsi="Arial" w:cs="Arial" w:eastAsia="Arial"/>
          <w:b/>
          <w:sz w:val="24"/>
          <w:lang w:eastAsia="it-IT"/>
        </w:rPr>
        <w:t xml:space="preserve">719 del </w:t>
      </w:r>
      <w:r>
        <w:rPr>
          <w:rFonts w:ascii="Arial" w:hAnsi="Arial" w:cs="Arial" w:eastAsia="Arial"/>
          <w:b/>
          <w:sz w:val="24"/>
          <w:lang w:eastAsia="it-IT"/>
        </w:rPr>
        <w:t xml:space="preserve">19/06/2026</w:t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OGGETTO:</w:t>
      </w:r>
      <w:r>
        <w:rPr>
          <w:rFonts w:ascii="Arial" w:hAnsi="Arial" w:cs="Arial" w:eastAsia="Arial"/>
          <w:sz w:val="24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NOMINA DEI RAPPRESENTANTI DEL CONSIGLIO COMUNALE IN SENO AL CONSIGLIO DI AMMINISTRAZIONE DELL'ISTITUTO CAMPANA PER L'ISTRUZIONE PERMANENTE.</w:t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  <w:pBdr>
          <w:bottom w:val="single" w:color="000000" w:sz="6" w:space="0"/>
        </w:pBd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pStyle w:val="761"/>
      </w:pPr>
      <w:r/>
      <w:r/>
    </w:p>
    <w:p>
      <w:pPr>
        <w:jc w:val="center"/>
        <w:rPr>
          <w:rFonts w:ascii="Arial" w:hAnsi="Arial" w:cs="Arial" w:eastAsia="Arial"/>
          <w:b/>
          <w:sz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pStyle w:val="746"/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</w:rPr>
        <w:t xml:space="preserve">IL CONSIGLIO COMUNALE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left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pStyle w:val="750"/>
        <w:jc w:val="center"/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left"/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Premesso 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che ai sensi dell’art. 3 del vigente Statuto dell’Istituto Campana per l’Istruzione Permanente - ente morale con sede in Osimo, con funzioni di istruzione, alta formazione e cultura - l’amministrazione dell’Istituto è affidata ad un Consiglio di Amministra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zione, composto, fra l’altro, da n.3 rappresentanti del Comune di Osimo eletti dal Consiglio Comunale, di cui 1 in rappresentanza della minoranza;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Considerato: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che il Consiglio di Amministrazione viene nominato - una volta acquisite le varie designazioni da parte degli enti competenti - con decreto del Direttore Generale dell’Ufficio Scolastico Regionale delle Marche, e da tale decreto di nomina decorre il suo in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carico con durata quinquennale (art.5 Statuto);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/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che il precedente Consiglio di Amministrazione, nominato con decreto del Direttore Generale dell’Ufficio Scolastico Regionale delle Marche n.376/2021, sulla base delle designazioni pervenute da parte degli enti competenti, è giunto a scadenza in data 25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Aprile 2026 e pertanto occorre procedere a nuova designazione per il successivo quinquennio;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ind w:left="0" w:right="0" w:firstLine="708"/>
        <w:jc w:val="both"/>
        <w:spacing w:before="0" w:after="0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ind w:left="0" w:right="0" w:firstLine="36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Richiamato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l’art.42, comma 2 lettera m) del D.Lgs. n.267/2000 che prevede tra le competenze del Consiglio Comunale: "la definizione degli indirizzi per la nomina e la designazione dei rappresentanti del comune presso enti, aziende ed istituzioni, nonché la nomi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na dei rappresentanti del consiglio presso enti, aziende ed istituzioni ad esso espressamente riservata dalla legge";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36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36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Richiamato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il proprio atto n.10 del 20.06.2025 con il qua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le sono stati definiti gli indirizzi per la nomina, la revoca e la designazione dei rappresentati del Comune presso Enti, Aziende ed Istituzioni e in particolare gli indirizzi per le nomine di competenza del Consiglio Comunale, che di seguito si riportano:</w:t>
      </w:r>
      <w:r/>
    </w:p>
    <w:p>
      <w:pPr>
        <w:ind w:left="0" w:right="0" w:firstLine="36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Arial" w:hAnsi="Arial" w:cs="Arial" w:eastAsia="Arial"/>
          <w:i/>
          <w:color w:val="000000"/>
          <w:sz w:val="22"/>
        </w:rPr>
        <w:t xml:space="preserve">NOMINA DI RAPPRESENTANTI DEL CONSIGLIO COMUNALE PRESSO ENTI, SOCIETA’, AZIENDE ED ISTITUZIONI 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(Nomina di competenza del Consiglio)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Le nomine e le designazioni dei rappresentanti del Consiglio Comunale presso Enti, Società, Aziende ed Istituzioni devono essere effettuate tenendo conto delle competenze e delle professionalità dei soggetti interessati.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Per essere nominati o designati rappresentati del Consiglio Comunale presso Enti, Società,</w:t>
      </w:r>
      <w:r>
        <w:rPr>
          <w:rFonts w:ascii="Arial" w:hAnsi="Arial" w:cs="Arial" w:eastAsia="Arial"/>
          <w:b/>
          <w:color w:val="000000"/>
          <w:sz w:val="22"/>
        </w:rPr>
        <w:t xml:space="preserve"> </w:t>
      </w:r>
      <w:r>
        <w:rPr>
          <w:rFonts w:ascii="Arial" w:hAnsi="Arial" w:cs="Arial" w:eastAsia="Arial"/>
          <w:i/>
          <w:color w:val="000000"/>
          <w:sz w:val="22"/>
        </w:rPr>
        <w:t xml:space="preserve"> Aziende ed Istituzioni, gli interessati dovranno</w:t>
      </w:r>
      <w:r>
        <w:rPr>
          <w:rFonts w:ascii="Arial" w:hAnsi="Arial" w:cs="Arial" w:eastAsia="Arial"/>
          <w:color w:val="000000"/>
          <w:sz w:val="22"/>
        </w:rPr>
        <w:t xml:space="preserve">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1)      possedere i requisiti richiesti per la elezione alla carica di consigliere comunale e comunque non incorrere in alcuna delle cause di inconferibilità, incompatibilità ed ineleggibilità indicate dal D. Lgs. n.267/2000 e ss.mm.ii., dal D.Lgs.n.235/20</w:t>
      </w:r>
      <w:r>
        <w:rPr>
          <w:rFonts w:ascii="Arial" w:hAnsi="Arial" w:cs="Arial" w:eastAsia="Arial"/>
          <w:i/>
          <w:color w:val="000000"/>
          <w:sz w:val="22"/>
        </w:rPr>
        <w:t xml:space="preserve">12 e ss.mm.ii. e dal D.Lgs.n.39/2013 e ss.mm.ii.;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2)     possedere una competenza tecnica e/o amministrativa, in relazione all’incarico da ricoprire, per effetto di studi compiuti, esperienze lavorative o uffici pubblici ricoperti documentata con adeguato curriculum;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3)      non essere in rapporto di parentela (ascendenti, discendenti) di coniugio ed affinità fino al terzo grado con il Sindaco, con gli Assessori e coi Consiglieri Comunali.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4)      non essere stati condannati per reati compiuti nell’esercizio di pubbliche funzioni o</w:t>
      </w:r>
      <w:r>
        <w:rPr>
          <w:rFonts w:ascii="Arial" w:hAnsi="Arial" w:cs="Arial" w:eastAsia="Arial"/>
          <w:b/>
          <w:color w:val="000000"/>
          <w:sz w:val="22"/>
        </w:rPr>
        <w:t xml:space="preserve"> </w:t>
      </w:r>
      <w:r>
        <w:rPr>
          <w:rFonts w:ascii="Arial" w:hAnsi="Arial" w:cs="Arial" w:eastAsia="Arial"/>
          <w:i/>
          <w:color w:val="000000"/>
          <w:sz w:val="22"/>
        </w:rPr>
        <w:t xml:space="preserve">nell’espletamento di mandati come amministratori di organismi partecipati da Amministrazioni pubbliche.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5)      non essere soci o amministratori di società esercenti attività concorrenti, complementari o affini a quelle degli Enti, Società, Aziende ed Istituzioni a cui si riferiscono le nomine, né di società a quelle collegate, né di società controllanti o c</w:t>
      </w:r>
      <w:r>
        <w:rPr>
          <w:rFonts w:ascii="Arial" w:hAnsi="Arial" w:cs="Arial" w:eastAsia="Arial"/>
          <w:i/>
          <w:color w:val="000000"/>
          <w:sz w:val="22"/>
        </w:rPr>
        <w:t xml:space="preserve">ontrollate;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6)      non esercitare in proprio o per conto terzi le attività di cui al precedente punto 5.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7)      non svolgere attività professionali né intrattenere rapporti imprenditoriali incompatibili o in conflitto di interessi con il Comune o organismi partecipati, nei quali dovrebbero essere designati e nominati amministratori;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8)      non aver svolto il medesimo incarico per due mandati consecutivi. 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9)      non aver ricoperto incarichi amministrativi in enti, istituzioni, aziende pubbliche e società a (totale o parziale) capitale pubblico, che abbiano chiuso in perdita per tre esercizi consecutivi, a meno che la perdita risulti conforme alla programma</w:t>
      </w:r>
      <w:r>
        <w:rPr>
          <w:rFonts w:ascii="Arial" w:hAnsi="Arial" w:cs="Arial" w:eastAsia="Arial"/>
          <w:i/>
          <w:color w:val="000000"/>
          <w:sz w:val="22"/>
        </w:rPr>
        <w:t xml:space="preserve">zione gestionale regolarmente approvata.</w:t>
      </w:r>
      <w:r/>
    </w:p>
    <w:p>
      <w:pPr>
        <w:ind w:left="720" w:right="0" w:hanging="36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10)  per gli incarichi non apicali inerenti enti o associazioni aventi finalità essenzialmente culturali, ricreative, sportive o relative a tematiche giovanili, dimostrare una personale, certa e comprovata vocazione.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In ogni caso tutte le nomine verranno fatte, nel rispetto del principio di pari opportunità tra donne ed uomini a garanzia di una presenza equilibrata di entrambi i sessi, tenendo conto sia dei requisiti morali degli interessati, sia dell’esperienza s</w:t>
      </w:r>
      <w:r>
        <w:rPr>
          <w:rFonts w:ascii="Arial" w:hAnsi="Arial" w:cs="Arial" w:eastAsia="Arial"/>
          <w:i/>
          <w:color w:val="000000"/>
          <w:sz w:val="22"/>
        </w:rPr>
        <w:t xml:space="preserve">pecifica e della competenza nel settore nel quale opera l’organismo per il quale il soggetto può essere nominato amministratore, nonché della disponibilità dei medesimi a conformare il proprio operato alle direttive del consiglio comunale e del sindac</w:t>
      </w:r>
      <w:r>
        <w:rPr>
          <w:rFonts w:ascii="Arial" w:hAnsi="Arial" w:cs="Arial" w:eastAsia="Arial"/>
          <w:i/>
          <w:color w:val="000000"/>
          <w:sz w:val="22"/>
        </w:rPr>
        <w:t xml:space="preserve">o.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16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4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Richiamato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l’art.18, 3° comma dello Statuto Comunale che testualmente recita: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“Spetta altresì ai gruppi di minoranza indicare al Consiglio Comunale i loro rappresentanti negli organi collegiali degli enti, delle aziende ed istituzioni dipendenti dal Comune, nonché in tutte le commissioni anche di carattere consultivo ove la legge, l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o Statuto ed i regolamenti prevedano la designazione da parte del Consiglio dei propri rappresentanti in numero superiore ad uno”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Dato atto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che uno dei componenti del Consiglio di Amministrazione dell’Istituto Campana per l’Istruzione Permanente dovrà essere espressione delle minoranze consiliari;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b/>
          <w:color w:val="000000"/>
          <w:sz w:val="24"/>
        </w:rPr>
        <w:t xml:space="preserve">Acquisito</w:t>
      </w:r>
      <w:r>
        <w:rPr>
          <w:rFonts w:ascii="Liberation Serif" w:hAnsi="Liberation Serif" w:cs="Liberation Serif" w:eastAsia="Liberation Serif"/>
          <w:color w:val="000000"/>
          <w:sz w:val="24"/>
        </w:rPr>
        <w:t xml:space="preserve"> il seguente parere, ai sensi art.49 del D.Lgs. 267/2000: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Parere favorevole di regolarità tecnica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Il Segretario Generale Dirigente Dipartimento Affari Generali Dott.ssa Mariarosaria Giorgio;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b/>
          <w:color w:val="000000"/>
          <w:sz w:val="24"/>
        </w:rPr>
        <w:t xml:space="preserve">Dato atto</w:t>
      </w:r>
      <w:r>
        <w:rPr>
          <w:rFonts w:ascii="Liberation Serif" w:hAnsi="Liberation Serif" w:cs="Liberation Serif" w:eastAsia="Liberation Serif"/>
          <w:color w:val="000000"/>
          <w:sz w:val="24"/>
        </w:rPr>
        <w:t xml:space="preserve"> che la presente proposta non necessita di parere di regolarità contabile in quanto non comporta riflessi diretti o indiretti sulla situazione economico-finanziaria o sul patrimonio dell’ente;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Udite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le seguenti proposte di candidatura: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Candidato di maggioranza</w:t>
        <w:tab/>
        <w:tab/>
        <w:t xml:space="preserve">Sig./Sig.ra</w:t>
        <w:tab/>
        <w:t xml:space="preserve">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Candidato di maggioranza</w:t>
        <w:tab/>
        <w:tab/>
        <w:t xml:space="preserve">Sig./Sig.ra</w:t>
        <w:tab/>
        <w:t xml:space="preserve">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Candidato di minoranza</w:t>
        <w:tab/>
        <w:tab/>
        <w:t xml:space="preserve">Sig./Sig.ra</w:t>
        <w:tab/>
        <w:t xml:space="preserve">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Esperita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la votazione, in modalità elettronica, in ordine ai due candidati componenti rappresentanti della </w:t>
      </w:r>
      <w:r>
        <w:rPr>
          <w:rFonts w:ascii="Times New Roman" w:hAnsi="Times New Roman" w:cs="Times New Roman" w:eastAsia="Times New Roman"/>
          <w:color w:val="000000"/>
          <w:sz w:val="24"/>
          <w:u w:val="single"/>
        </w:rPr>
        <w:t xml:space="preserve">maggioranza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consiliare, con il seguente esito: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Presenti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Votanti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Favorevoli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Contrari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Astenuti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ab/>
        <w:t xml:space="preserve">Esperita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la votazione, in modalità elettronica, in ordine al candidato componente rappresentante della </w:t>
      </w:r>
      <w:r>
        <w:rPr>
          <w:rFonts w:ascii="Times New Roman" w:hAnsi="Times New Roman" w:cs="Times New Roman" w:eastAsia="Times New Roman"/>
          <w:color w:val="000000"/>
          <w:sz w:val="24"/>
          <w:u w:val="single"/>
        </w:rPr>
        <w:t xml:space="preserve">minoranza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consiliare: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Presenti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Votanti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Favorevoli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Contrari</w:t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rPr>
          <w:rFonts w:ascii="Times New Roman" w:hAnsi="Times New Roman" w:cs="Times New Roman" w:eastAsia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Astenuti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both"/>
        <w:spacing w:before="0" w:after="0"/>
        <w:tabs>
          <w:tab w:val="left" w:pos="708" w:leader="none"/>
          <w:tab w:val="left" w:pos="1418" w:leader="none"/>
          <w:tab w:val="left" w:pos="1985" w:leader="none"/>
          <w:tab w:val="left" w:pos="4820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ab/>
        <w:t xml:space="preserve">Tutto ciò premesso,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 E L I B E R A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1"/>
        </w:numPr>
        <w:ind w:left="567" w:right="0" w:hanging="283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designare in qualità di rappresentanti  del Consiglio Comunale per il prossimo quinquennio presso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il Consiglio d’Amministrazione dell’ISTITUTO CAMPANA PER L’ISTRUZIONE PERMANENTE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i/le sigg.ri/re:</w:t>
      </w:r>
      <w:r/>
    </w:p>
    <w:p>
      <w:pPr>
        <w:ind w:left="567" w:right="0" w:hanging="283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_______________</w:t>
        <w:tab/>
        <w:tab/>
        <w:t xml:space="preserve">rappresentante di maggioranza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_______________</w:t>
        <w:tab/>
        <w:tab/>
        <w:t xml:space="preserve">rappresentante di maggioranza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_______________</w:t>
        <w:tab/>
        <w:tab/>
        <w:t xml:space="preserve">rappresentante di minoranza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283" w:right="0" w:hanging="283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  <w:t xml:space="preserve">2.</w:t>
        <w:tab/>
        <w:t xml:space="preserve">Di dare mandato alla Dirigente Dipartimento Affari Generali affinché curi la </w:t>
        <w:tab/>
        <w:t xml:space="preserve">trasmissione delle presenti designazioni agli interessati ed all’Istituto, nonché all’Ufficio </w:t>
        <w:tab/>
        <w:t xml:space="preserve">Scolastico Regionale delle Marche per l’emanazione del decreto di nomina.</w:t>
      </w:r>
      <w:r/>
    </w:p>
    <w:p>
      <w:pPr>
        <w:ind w:left="283" w:right="0" w:hanging="283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****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 Presidente del Consiglio Comunale pone quindi a votazione la proposta di rendere il presente atto immediatamente eseguibile onde rendere operativo l’organo giunto in scadenza.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Pertanto,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IL CONSIGLIO COMUNALE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  <w:t xml:space="preserve">Udita la proposta,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 la seguente votazione, espressa in modalità elettronica: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Presenti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Votanti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Favorevoli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Contrari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Astenuti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DELIBERA</w:t>
      </w:r>
      <w:r/>
    </w:p>
    <w:p>
      <w:pPr>
        <w:ind w:left="283" w:right="0" w:hanging="283"/>
        <w:jc w:val="both"/>
        <w:spacing w:before="0" w:after="0"/>
        <w:tabs>
          <w:tab w:val="left" w:pos="28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283" w:right="0" w:hanging="283"/>
        <w:jc w:val="both"/>
        <w:spacing w:before="0" w:after="0"/>
        <w:tabs>
          <w:tab w:val="left" w:pos="28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3.</w:t>
        <w:tab/>
        <w:t xml:space="preserve">di rendere il presente atto immediatamente eseguibile ai sensi art.134 del T.U.E.L. n.267/2000.</w:t>
      </w:r>
      <w:r/>
    </w:p>
    <w:p>
      <w:pPr>
        <w:ind w:left="283" w:right="0" w:hanging="283"/>
        <w:jc w:val="both"/>
        <w:spacing w:before="0" w:after="0"/>
        <w:tabs>
          <w:tab w:val="left" w:pos="28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- - - * * * - - - 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t xml:space="preserve">La seduta prosegue con la trattazione del successivo punto all’ordine del giorno.</w:t>
      </w:r>
      <w:r/>
    </w:p>
    <w:p>
      <w:pPr>
        <w:jc w:val="left"/>
      </w:pPr>
      <w:r/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left"/>
        <w:rPr>
          <w:bCs/>
          <w:i/>
          <w:sz w:val="20"/>
          <w:szCs w:val="20"/>
        </w:rPr>
      </w:pP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A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i sensi dell’art.35 del Regolamento del Consiglio Comunale, le sedute pubbliche del Consiglio Comunale vengono riprese e trasmesse via web e sono integralmente registrate su supporto digitale. Dette registrazioni sono consultabili attraverso il sito Intern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et del Comune.</w:t>
      </w:r>
      <w:r>
        <w:rPr>
          <w:bCs/>
          <w:i/>
          <w:sz w:val="20"/>
          <w:szCs w:val="20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Mangal">
    <w:panose1 w:val="02020603050405020304"/>
  </w:font>
  <w:font w:name="Liberation Serif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  <w:highlight w:val="none"/>
      </w:rPr>
    </w:r>
    <w:r/>
  </w:p>
  <w:p>
    <w:pPr>
      <w:ind w:left="0" w:right="0" w:firstLine="0"/>
      <w:jc w:val="left"/>
      <w:spacing w:before="0" w:after="0"/>
      <w:rPr>
        <w:rFonts w:ascii="Arial" w:hAnsi="Arial" w:cs="Arial" w:eastAsia="Arial"/>
        <w:color w:val="000000"/>
        <w:highlight w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</w:rPr>
      <w:t xml:space="preserve">Proposta di </w:t>
    </w:r>
    <w:r>
      <w:rPr>
        <w:rFonts w:ascii="Arial" w:hAnsi="Arial" w:cs="Arial" w:eastAsia="Arial"/>
        <w:color w:val="000000"/>
        <w:sz w:val="18"/>
      </w:rPr>
      <w:t xml:space="preserve">Delibera di Consiglio</w:t>
    </w:r>
    <w:r>
      <w:rPr>
        <w:rFonts w:ascii="Arial" w:hAnsi="Arial" w:cs="Arial" w:eastAsia="Arial"/>
        <w:color w:val="000000"/>
        <w:sz w:val="18"/>
      </w:rPr>
      <w:t xml:space="preserve"> n. 719 del 19/06/2026</w:t>
    </w:r>
    <w:r>
      <w:rPr>
        <w:rFonts w:ascii="Arial" w:hAnsi="Arial" w:cs="Arial" w:eastAsia="Arial"/>
        <w:color w:val="000000"/>
        <w:highlight w:val="none"/>
      </w:rPr>
    </w:r>
    <w:r/>
  </w:p>
  <w:p>
    <w:pPr>
      <w:pStyle w:val="733"/>
      <w:jc w:val="right"/>
      <w:rPr>
        <w:rFonts w:ascii="Arial" w:hAnsi="Arial" w:cs="Arial" w:eastAsia="Arial"/>
        <w:highlight w:val="none"/>
      </w:rPr>
    </w:pPr>
    <w:r>
      <w:rPr>
        <w:rFonts w:ascii="Arial" w:hAnsi="Arial" w:cs="Arial" w:eastAsia="Arial"/>
        <w:sz w:val="18"/>
      </w:rPr>
      <w:t xml:space="preserve">Pag. </w:t>
    </w:r>
    <w:fldSimple w:instr="PAGE \* MERGEFORMAT">
      <w:r>
        <w:rPr>
          <w:rFonts w:ascii="Arial" w:hAnsi="Arial" w:cs="Arial" w:eastAsia="Arial"/>
          <w:sz w:val="18"/>
        </w:rPr>
        <w:t xml:space="preserve">1</w:t>
      </w:r>
    </w:fldSimple>
    <w:r>
      <w:rPr>
        <w:rFonts w:ascii="Arial" w:hAnsi="Arial" w:cs="Arial" w:eastAsia="Arial"/>
        <w:sz w:val="18"/>
      </w:rPr>
    </w:r>
    <w:r>
      <w:rPr>
        <w:rFonts w:ascii="Arial" w:hAnsi="Arial" w:cs="Arial" w:eastAsia="Arial"/>
        <w:highlight w:val="none"/>
      </w:rPr>
    </w:r>
    <w:r/>
  </w:p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  <w:p>
    <w:r>
      <w:rPr>
        <w:rFonts w:ascii="Times New Roman" w:hAnsi="Times New Roman" w:cs="Times New Roman" w:eastAsia="Times New Roman"/>
        <w:lang w:bidi="ar-SA"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-144145</wp:posOffset>
              </wp:positionV>
              <wp:extent cx="1444625" cy="1776730"/>
              <wp:effectExtent l="0" t="0" r="0" b="0"/>
              <wp:wrapNone/>
              <wp:docPr id="1" name="Immagine 1" descr="logo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180020" name="Immagine 1" descr="logo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444624" cy="177672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-17.8pt;mso-position-horizontal:absolute;mso-position-vertical-relative:text;margin-top:-11.3pt;mso-position-vertical:absolute;width:113.8pt;height:139.9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775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Mangal" w:eastAsia="SimSun" w:hint="default"/>
        <w:sz w:val="24"/>
        <w:szCs w:val="24"/>
        <w:lang w:val="it-IT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character" w:styleId="9">
    <w:name w:val="Default Paragraph Font"/>
    <w:uiPriority w:val="1"/>
    <w:semiHidden/>
    <w:unhideWhenUsed/>
  </w:style>
  <w:style w:type="numbering" w:styleId="10">
    <w:name w:val="No List"/>
    <w:uiPriority w:val="99"/>
    <w:semiHidden/>
    <w:unhideWhenUsed/>
  </w:style>
  <w:style w:type="paragraph" w:styleId="11">
    <w:name w:val="Heading 1"/>
    <w:basedOn w:val="8"/>
    <w:next w:val="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uiPriority w:val="34"/>
    <w:qFormat/>
    <w:pPr>
      <w:contextualSpacing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"/>
    <w:next w:val="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731">
    <w:name w:val="Header ae18e9fee9e54656244199318801899a"/>
    <w:basedOn w:val="746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 ae18e9fee9e54656244199318801899a"/>
    <w:link w:val="731"/>
    <w:uiPriority w:val="99"/>
  </w:style>
  <w:style w:type="paragraph" w:styleId="733">
    <w:name w:val="Footer ae18e9fee9e54656244199318801899a"/>
    <w:basedOn w:val="746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 ae18e9fee9e54656244199318801899a"/>
    <w:link w:val="733"/>
    <w:uiPriority w:val="99"/>
  </w:style>
  <w:style w:type="character" w:styleId="735">
    <w:name w:val="Caption Char ae18e9fee9e54656244199318801899a"/>
    <w:link w:val="733"/>
    <w:uiPriority w:val="99"/>
  </w:style>
  <w:style w:type="character" w:styleId="736">
    <w:name w:val="Hyperlink ae18e9fee9e54656244199318801899a"/>
    <w:uiPriority w:val="99"/>
    <w:unhideWhenUsed/>
    <w:rPr>
      <w:color w:val="0000FF" w:themeColor="hyperlink"/>
      <w:u w:val="single"/>
    </w:rPr>
  </w:style>
  <w:style w:type="paragraph" w:styleId="737">
    <w:name w:val="toc 1 ae18e9fee9e54656244199318801899a"/>
    <w:basedOn w:val="746"/>
    <w:uiPriority w:val="39"/>
    <w:unhideWhenUsed/>
    <w:pPr>
      <w:ind w:left="0" w:right="0" w:firstLine="0"/>
      <w:spacing w:after="57"/>
    </w:pPr>
  </w:style>
  <w:style w:type="paragraph" w:styleId="738">
    <w:name w:val="toc 2 ae18e9fee9e54656244199318801899a"/>
    <w:basedOn w:val="746"/>
    <w:uiPriority w:val="39"/>
    <w:unhideWhenUsed/>
    <w:pPr>
      <w:ind w:left="283" w:right="0" w:firstLine="0"/>
      <w:spacing w:after="57"/>
    </w:pPr>
  </w:style>
  <w:style w:type="paragraph" w:styleId="739">
    <w:name w:val="toc 3 ae18e9fee9e54656244199318801899a"/>
    <w:basedOn w:val="746"/>
    <w:uiPriority w:val="39"/>
    <w:unhideWhenUsed/>
    <w:pPr>
      <w:ind w:left="567" w:right="0" w:firstLine="0"/>
      <w:spacing w:after="57"/>
    </w:pPr>
  </w:style>
  <w:style w:type="paragraph" w:styleId="740">
    <w:name w:val="toc 4 ae18e9fee9e54656244199318801899a"/>
    <w:basedOn w:val="746"/>
    <w:uiPriority w:val="39"/>
    <w:unhideWhenUsed/>
    <w:pPr>
      <w:ind w:left="850" w:right="0" w:firstLine="0"/>
      <w:spacing w:after="57"/>
    </w:pPr>
  </w:style>
  <w:style w:type="paragraph" w:styleId="741">
    <w:name w:val="toc 5 ae18e9fee9e54656244199318801899a"/>
    <w:basedOn w:val="746"/>
    <w:uiPriority w:val="39"/>
    <w:unhideWhenUsed/>
    <w:pPr>
      <w:ind w:left="1134" w:right="0" w:firstLine="0"/>
      <w:spacing w:after="57"/>
    </w:pPr>
  </w:style>
  <w:style w:type="paragraph" w:styleId="742">
    <w:name w:val="toc 6 ae18e9fee9e54656244199318801899a"/>
    <w:basedOn w:val="746"/>
    <w:uiPriority w:val="39"/>
    <w:unhideWhenUsed/>
    <w:pPr>
      <w:ind w:left="1417" w:right="0" w:firstLine="0"/>
      <w:spacing w:after="57"/>
    </w:pPr>
  </w:style>
  <w:style w:type="paragraph" w:styleId="743">
    <w:name w:val="toc 7 ae18e9fee9e54656244199318801899a"/>
    <w:basedOn w:val="746"/>
    <w:uiPriority w:val="39"/>
    <w:unhideWhenUsed/>
    <w:pPr>
      <w:ind w:left="1701" w:right="0" w:firstLine="0"/>
      <w:spacing w:after="57"/>
    </w:pPr>
  </w:style>
  <w:style w:type="paragraph" w:styleId="744">
    <w:name w:val="toc 8 ae18e9fee9e54656244199318801899a"/>
    <w:basedOn w:val="746"/>
    <w:uiPriority w:val="39"/>
    <w:unhideWhenUsed/>
    <w:pPr>
      <w:ind w:left="1984" w:right="0" w:firstLine="0"/>
      <w:spacing w:after="57"/>
    </w:pPr>
  </w:style>
  <w:style w:type="paragraph" w:styleId="745">
    <w:name w:val="toc 9 ae18e9fee9e54656244199318801899a"/>
    <w:basedOn w:val="746"/>
    <w:uiPriority w:val="39"/>
    <w:unhideWhenUsed/>
    <w:pPr>
      <w:ind w:left="2268" w:right="0" w:firstLine="0"/>
      <w:spacing w:after="57"/>
    </w:pPr>
  </w:style>
  <w:style w:type="paragraph" w:styleId="746" w:default="1">
    <w:name w:val="Normal ae18e9fee9e54656244199318801899a"/>
    <w:qFormat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47" w:default="1">
    <w:name w:val="Default Paragraph Font ae18e9fee9e54656244199318801899a"/>
    <w:uiPriority w:val="1"/>
    <w:semiHidden/>
    <w:unhideWhenUsed/>
  </w:style>
  <w:style w:type="numbering" w:styleId="748" w:default="1">
    <w:name w:val="No List ae18e9fee9e54656244199318801899a"/>
    <w:uiPriority w:val="99"/>
    <w:semiHidden/>
    <w:unhideWhenUsed/>
  </w:style>
  <w:style w:type="table" w:styleId="749" w:default="1">
    <w:name w:val="Normal Table ae18e9fee9e54656244199318801899a"/>
    <w:uiPriority w:val="99"/>
    <w:semiHidden/>
    <w:unhideWhenUsed/>
    <w:tblPr/>
  </w:style>
  <w:style w:type="paragraph" w:styleId="750">
    <w:name w:val="Normal b12457082c525b69baf40d803f591b06 ae18e9fee9e54656244199318801899a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cs="Mangal" w:eastAsia="SimSu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it-IT" w:bidi="hi-IN" w:eastAsia="zh-CN"/>
    </w:rPr>
  </w:style>
  <w:style w:type="character" w:styleId="751">
    <w:name w:val="Hyperlink 7b0c5faea007d26f4893e11f6d684c41"/>
    <w:uiPriority w:val="99"/>
    <w:unhideWhenUsed/>
    <w:rPr>
      <w:color w:val="0000FF" w:themeColor="hyperlink"/>
      <w:u w:val="single"/>
    </w:rPr>
  </w:style>
  <w:style w:type="paragraph" w:styleId="752">
    <w:name w:val="toc 1 7b0c5faea007d26f4893e11f6d684c41"/>
    <w:basedOn w:val="761"/>
    <w:uiPriority w:val="39"/>
    <w:unhideWhenUsed/>
    <w:pPr>
      <w:ind w:left="0" w:right="0" w:firstLine="0"/>
      <w:spacing w:after="57"/>
    </w:pPr>
  </w:style>
  <w:style w:type="paragraph" w:styleId="753">
    <w:name w:val="toc 2 7b0c5faea007d26f4893e11f6d684c41"/>
    <w:basedOn w:val="761"/>
    <w:uiPriority w:val="39"/>
    <w:unhideWhenUsed/>
    <w:pPr>
      <w:ind w:left="283" w:right="0" w:firstLine="0"/>
      <w:spacing w:after="57"/>
    </w:pPr>
  </w:style>
  <w:style w:type="paragraph" w:styleId="754">
    <w:name w:val="toc 3 7b0c5faea007d26f4893e11f6d684c41"/>
    <w:basedOn w:val="761"/>
    <w:uiPriority w:val="39"/>
    <w:unhideWhenUsed/>
    <w:pPr>
      <w:ind w:left="567" w:right="0" w:firstLine="0"/>
      <w:spacing w:after="57"/>
    </w:pPr>
  </w:style>
  <w:style w:type="paragraph" w:styleId="755">
    <w:name w:val="toc 4 7b0c5faea007d26f4893e11f6d684c41"/>
    <w:basedOn w:val="761"/>
    <w:uiPriority w:val="39"/>
    <w:unhideWhenUsed/>
    <w:pPr>
      <w:ind w:left="850" w:right="0" w:firstLine="0"/>
      <w:spacing w:after="57"/>
    </w:pPr>
  </w:style>
  <w:style w:type="paragraph" w:styleId="756">
    <w:name w:val="toc 5 7b0c5faea007d26f4893e11f6d684c41"/>
    <w:basedOn w:val="761"/>
    <w:uiPriority w:val="39"/>
    <w:unhideWhenUsed/>
    <w:pPr>
      <w:ind w:left="1134" w:right="0" w:firstLine="0"/>
      <w:spacing w:after="57"/>
    </w:pPr>
  </w:style>
  <w:style w:type="paragraph" w:styleId="757">
    <w:name w:val="toc 6 7b0c5faea007d26f4893e11f6d684c41"/>
    <w:basedOn w:val="761"/>
    <w:uiPriority w:val="39"/>
    <w:unhideWhenUsed/>
    <w:pPr>
      <w:ind w:left="1417" w:right="0" w:firstLine="0"/>
      <w:spacing w:after="57"/>
    </w:pPr>
  </w:style>
  <w:style w:type="paragraph" w:styleId="758">
    <w:name w:val="toc 7 7b0c5faea007d26f4893e11f6d684c41"/>
    <w:basedOn w:val="761"/>
    <w:uiPriority w:val="39"/>
    <w:unhideWhenUsed/>
    <w:pPr>
      <w:ind w:left="1701" w:right="0" w:firstLine="0"/>
      <w:spacing w:after="57"/>
    </w:pPr>
  </w:style>
  <w:style w:type="paragraph" w:styleId="759">
    <w:name w:val="toc 8 7b0c5faea007d26f4893e11f6d684c41"/>
    <w:basedOn w:val="761"/>
    <w:uiPriority w:val="39"/>
    <w:unhideWhenUsed/>
    <w:pPr>
      <w:ind w:left="1984" w:right="0" w:firstLine="0"/>
      <w:spacing w:after="57"/>
    </w:pPr>
  </w:style>
  <w:style w:type="paragraph" w:styleId="760">
    <w:name w:val="toc 9 7b0c5faea007d26f4893e11f6d684c41"/>
    <w:basedOn w:val="761"/>
    <w:uiPriority w:val="39"/>
    <w:unhideWhenUsed/>
    <w:pPr>
      <w:ind w:left="2268" w:right="0" w:firstLine="0"/>
      <w:spacing w:after="57"/>
    </w:pPr>
  </w:style>
  <w:style w:type="paragraph" w:styleId="761">
    <w:name w:val="Normal 7b0c5faea007d26f4893e11f6d684c41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62">
    <w:name w:val="Default Paragraph Font 7b0c5faea007d26f4893e11f6d684c41"/>
    <w:uiPriority w:val="1"/>
    <w:semiHidden/>
    <w:unhideWhenUsed/>
  </w:style>
  <w:style w:type="numbering" w:styleId="763">
    <w:name w:val="No List 7b0c5faea007d26f4893e11f6d684c41"/>
    <w:uiPriority w:val="99"/>
    <w:semiHidden/>
    <w:unhideWhenUsed/>
  </w:style>
  <w:style w:type="table" w:styleId="764">
    <w:name w:val="Normal Table 7b0c5faea007d26f4893e11f6d684c41"/>
    <w:uiPriority w:val="99"/>
    <w:semiHidden/>
    <w:unhideWhenUsed/>
    <w:tblPr/>
  </w:style>
  <w:style w:type="character" w:styleId="765">
    <w:name w:val="Hyperlink bdb0a090e3a69dbe629dd2bcea633dec"/>
    <w:uiPriority w:val="99"/>
    <w:unhideWhenUsed/>
    <w:rPr>
      <w:color w:val="0000FF" w:themeColor="hyperlink"/>
      <w:u w:val="single"/>
    </w:rPr>
  </w:style>
  <w:style w:type="paragraph" w:styleId="766">
    <w:name w:val="toc 1 bdb0a090e3a69dbe629dd2bcea633dec"/>
    <w:basedOn w:val="775"/>
    <w:uiPriority w:val="39"/>
    <w:unhideWhenUsed/>
    <w:pPr>
      <w:ind w:left="0" w:right="0" w:firstLine="0"/>
      <w:spacing w:after="57"/>
    </w:pPr>
  </w:style>
  <w:style w:type="paragraph" w:styleId="767">
    <w:name w:val="toc 2 bdb0a090e3a69dbe629dd2bcea633dec"/>
    <w:basedOn w:val="775"/>
    <w:uiPriority w:val="39"/>
    <w:unhideWhenUsed/>
    <w:pPr>
      <w:ind w:left="283" w:right="0" w:firstLine="0"/>
      <w:spacing w:after="57"/>
    </w:pPr>
  </w:style>
  <w:style w:type="paragraph" w:styleId="768">
    <w:name w:val="toc 3 bdb0a090e3a69dbe629dd2bcea633dec"/>
    <w:basedOn w:val="775"/>
    <w:uiPriority w:val="39"/>
    <w:unhideWhenUsed/>
    <w:pPr>
      <w:ind w:left="567" w:right="0" w:firstLine="0"/>
      <w:spacing w:after="57"/>
    </w:pPr>
  </w:style>
  <w:style w:type="paragraph" w:styleId="769">
    <w:name w:val="toc 4 bdb0a090e3a69dbe629dd2bcea633dec"/>
    <w:basedOn w:val="775"/>
    <w:uiPriority w:val="39"/>
    <w:unhideWhenUsed/>
    <w:pPr>
      <w:ind w:left="850" w:right="0" w:firstLine="0"/>
      <w:spacing w:after="57"/>
    </w:pPr>
  </w:style>
  <w:style w:type="paragraph" w:styleId="770">
    <w:name w:val="toc 5 bdb0a090e3a69dbe629dd2bcea633dec"/>
    <w:basedOn w:val="775"/>
    <w:uiPriority w:val="39"/>
    <w:unhideWhenUsed/>
    <w:pPr>
      <w:ind w:left="1134" w:right="0" w:firstLine="0"/>
      <w:spacing w:after="57"/>
    </w:pPr>
  </w:style>
  <w:style w:type="paragraph" w:styleId="771">
    <w:name w:val="toc 6 bdb0a090e3a69dbe629dd2bcea633dec"/>
    <w:basedOn w:val="775"/>
    <w:uiPriority w:val="39"/>
    <w:unhideWhenUsed/>
    <w:pPr>
      <w:ind w:left="1417" w:right="0" w:firstLine="0"/>
      <w:spacing w:after="57"/>
    </w:pPr>
  </w:style>
  <w:style w:type="paragraph" w:styleId="772">
    <w:name w:val="toc 7 bdb0a090e3a69dbe629dd2bcea633dec"/>
    <w:basedOn w:val="775"/>
    <w:uiPriority w:val="39"/>
    <w:unhideWhenUsed/>
    <w:pPr>
      <w:ind w:left="1701" w:right="0" w:firstLine="0"/>
      <w:spacing w:after="57"/>
    </w:pPr>
  </w:style>
  <w:style w:type="paragraph" w:styleId="773">
    <w:name w:val="toc 8 bdb0a090e3a69dbe629dd2bcea633dec"/>
    <w:basedOn w:val="775"/>
    <w:uiPriority w:val="39"/>
    <w:unhideWhenUsed/>
    <w:pPr>
      <w:ind w:left="1984" w:right="0" w:firstLine="0"/>
      <w:spacing w:after="57"/>
    </w:pPr>
  </w:style>
  <w:style w:type="paragraph" w:styleId="774">
    <w:name w:val="toc 9 bdb0a090e3a69dbe629dd2bcea633dec"/>
    <w:basedOn w:val="775"/>
    <w:uiPriority w:val="39"/>
    <w:unhideWhenUsed/>
    <w:pPr>
      <w:ind w:left="2268" w:right="0" w:firstLine="0"/>
      <w:spacing w:after="57"/>
    </w:pPr>
  </w:style>
  <w:style w:type="paragraph" w:styleId="775">
    <w:name w:val="Normal bdb0a090e3a69dbe629dd2bcea633dec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76">
    <w:name w:val="Default Paragraph Font bdb0a090e3a69dbe629dd2bcea633dec"/>
    <w:uiPriority w:val="1"/>
    <w:semiHidden/>
    <w:unhideWhenUsed/>
  </w:style>
  <w:style w:type="numbering" w:styleId="777">
    <w:name w:val="No List bdb0a090e3a69dbe629dd2bcea633dec"/>
    <w:uiPriority w:val="99"/>
    <w:semiHidden/>
    <w:unhideWhenUsed/>
  </w:style>
  <w:style w:type="table" w:styleId="778">
    <w:name w:val="Normal Table bdb0a090e3a69dbe629dd2bcea633dec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lastModifiedBy>s.burghiani</cp:lastModifiedBy>
  <cp:revision>14</cp:revision>
  <dcterms:created xsi:type="dcterms:W3CDTF">2016-01-21T15:36:37Z</dcterms:created>
  <dcterms:modified xsi:type="dcterms:W3CDTF">2026-06-23T11:58:16Z</dcterms:modified>
</cp:coreProperties>
</file>