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tabs>
          <w:tab w:val="left" w:pos="708" w:leader="none"/>
          <w:tab w:val="center" w:pos="4819" w:leader="none"/>
          <w:tab w:val="right" w:pos="9638" w:leader="none"/>
        </w:tabs>
        <w:rPr>
          <w:rFonts w:ascii="Tahoma" w:hAnsi="Tahoma" w:cs="Tahoma" w:eastAsia="Times New Roman"/>
          <w:lang w:eastAsia="it-IT"/>
        </w:rPr>
      </w:pPr>
      <w:r>
        <w:rPr>
          <w:rFonts w:ascii="Tahoma" w:hAnsi="Tahoma" w:cs="Tahoma" w:eastAsia="Times New Roman"/>
          <w:b/>
          <w:lang w:eastAsia="it-IT"/>
        </w:rPr>
      </w:r>
      <w:r>
        <w:rPr>
          <w:rFonts w:ascii="Tahoma" w:hAnsi="Tahoma" w:cs="Tahoma" w:eastAsia="Times New Roman"/>
          <w:lang w:eastAsia="it-IT"/>
        </w:rPr>
      </w:r>
      <w:r/>
    </w:p>
    <w:p>
      <w:pPr>
        <w:jc w:val="center"/>
        <w:tabs>
          <w:tab w:val="left" w:pos="708" w:leader="none"/>
          <w:tab w:val="center" w:pos="4819" w:leader="none"/>
          <w:tab w:val="right" w:pos="9638" w:leader="none"/>
        </w:tabs>
        <w:rPr>
          <w:rFonts w:ascii="Arial" w:hAnsi="Arial" w:cs="Arial" w:eastAsia="Arial"/>
        </w:rPr>
      </w:pPr>
      <w:r>
        <w:rPr>
          <w:rFonts w:ascii="Arial" w:hAnsi="Arial" w:cs="Arial" w:eastAsia="Arial"/>
          <w:b/>
          <w:sz w:val="24"/>
          <w:lang w:eastAsia="it-IT"/>
        </w:rPr>
        <w:t xml:space="preserve">PROPOSTA DI DELIBERAZIONE</w:t>
      </w:r>
      <w:r>
        <w:rPr>
          <w:rFonts w:ascii="Arial" w:hAnsi="Arial" w:cs="Arial" w:eastAsia="Arial"/>
          <w:sz w:val="24"/>
        </w:rPr>
      </w:r>
      <w:r/>
    </w:p>
    <w:p>
      <w:pPr>
        <w:jc w:val="center"/>
        <w:tabs>
          <w:tab w:val="left" w:pos="708" w:leader="none"/>
          <w:tab w:val="center" w:pos="4819" w:leader="none"/>
          <w:tab w:val="right" w:pos="9638" w:leader="none"/>
        </w:tabs>
        <w:rPr>
          <w:rFonts w:ascii="Arial" w:hAnsi="Arial" w:cs="Arial" w:eastAsia="Arial"/>
          <w:highlight w:val="none"/>
        </w:rPr>
      </w:pPr>
      <w:r>
        <w:rPr>
          <w:rFonts w:ascii="Arial" w:hAnsi="Arial" w:cs="Arial" w:eastAsia="Arial"/>
          <w:b/>
          <w:sz w:val="24"/>
          <w:lang w:eastAsia="it-IT"/>
        </w:rPr>
        <w:t xml:space="preserve">DEL CONSIGLIO COMUNALE</w:t>
      </w:r>
      <w:r>
        <w:rPr>
          <w:rFonts w:ascii="Arial" w:hAnsi="Arial" w:cs="Arial" w:eastAsia="Arial"/>
          <w:sz w:val="24"/>
          <w:highlight w:val="none"/>
        </w:rPr>
      </w:r>
      <w:r/>
    </w:p>
    <w:p>
      <w:pPr>
        <w:jc w:val="center"/>
        <w:tabs>
          <w:tab w:val="left" w:pos="708" w:leader="none"/>
          <w:tab w:val="center" w:pos="4819" w:leader="none"/>
          <w:tab w:val="right" w:pos="9638" w:leader="none"/>
        </w:tabs>
        <w:rPr>
          <w:rFonts w:ascii="Arial" w:hAnsi="Arial" w:cs="Arial" w:eastAsia="Arial"/>
          <w:highlight w:val="none"/>
        </w:rPr>
      </w:pPr>
      <w:r>
        <w:rPr>
          <w:rFonts w:ascii="Arial" w:hAnsi="Arial" w:cs="Arial" w:eastAsia="Arial"/>
          <w:sz w:val="24"/>
          <w:highlight w:val="none"/>
        </w:rPr>
      </w:r>
      <w:r>
        <w:rPr>
          <w:rFonts w:ascii="Arial" w:hAnsi="Arial" w:cs="Arial" w:eastAsia="Arial"/>
          <w:sz w:val="24"/>
          <w:highlight w:val="none"/>
        </w:rPr>
      </w:r>
      <w:r/>
    </w:p>
    <w:p>
      <w:pPr>
        <w:jc w:val="center"/>
        <w:tabs>
          <w:tab w:val="left" w:pos="708" w:leader="none"/>
          <w:tab w:val="center" w:pos="4819" w:leader="none"/>
          <w:tab w:val="right" w:pos="9638" w:leader="none"/>
        </w:tabs>
        <w:rPr>
          <w:rFonts w:ascii="Arial" w:hAnsi="Arial" w:cs="Arial" w:eastAsia="Arial"/>
        </w:rPr>
      </w:pPr>
      <w:r>
        <w:rPr>
          <w:rFonts w:ascii="Arial" w:hAnsi="Arial" w:cs="Arial" w:eastAsia="Arial"/>
          <w:b/>
          <w:sz w:val="24"/>
          <w:highlight w:val="none"/>
          <w:lang w:eastAsia="it-IT"/>
        </w:rPr>
        <w:t xml:space="preserve">n. </w:t>
      </w:r>
      <w:r>
        <w:rPr>
          <w:rFonts w:ascii="Arial" w:hAnsi="Arial" w:cs="Arial" w:eastAsia="Arial"/>
          <w:b/>
          <w:sz w:val="24"/>
          <w:lang w:eastAsia="it-IT"/>
        </w:rPr>
        <w:t xml:space="preserve">853 del </w:t>
      </w:r>
      <w:r>
        <w:rPr>
          <w:rFonts w:ascii="Arial" w:hAnsi="Arial" w:cs="Arial" w:eastAsia="Arial"/>
          <w:b/>
          <w:sz w:val="24"/>
          <w:lang w:eastAsia="it-IT"/>
        </w:rPr>
        <w:t xml:space="preserve">17/07/2026</w:t>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szCs w:val="14"/>
          <w:lang w:eastAsia="it-IT"/>
        </w:rPr>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szCs w:val="14"/>
          <w:lang w:eastAsia="it-IT"/>
        </w:rPr>
      </w:r>
      <w:r>
        <w:rPr>
          <w:rFonts w:ascii="Arial" w:hAnsi="Arial" w:cs="Arial" w:eastAsia="Arial"/>
          <w:sz w:val="24"/>
        </w:rPr>
      </w:r>
      <w:r/>
    </w:p>
    <w:p>
      <w:pPr>
        <w:jc w:val="both"/>
        <w:tabs>
          <w:tab w:val="left" w:pos="708" w:leader="none"/>
          <w:tab w:val="center" w:pos="4819" w:leader="none"/>
          <w:tab w:val="right" w:pos="9638" w:leader="none"/>
        </w:tabs>
        <w:rPr>
          <w:rFonts w:ascii="Arial" w:hAnsi="Arial" w:cs="Arial" w:eastAsia="Arial"/>
        </w:rPr>
      </w:pPr>
      <w:r>
        <w:rPr>
          <w:rFonts w:ascii="Arial" w:hAnsi="Arial" w:cs="Arial" w:eastAsia="Arial"/>
          <w:b/>
          <w:sz w:val="24"/>
          <w:lang w:eastAsia="it-IT"/>
        </w:rPr>
        <w:t xml:space="preserve">OGGETTO:</w:t>
      </w:r>
      <w:r>
        <w:rPr>
          <w:rFonts w:ascii="Arial" w:hAnsi="Arial" w:cs="Arial" w:eastAsia="Arial"/>
          <w:sz w:val="24"/>
        </w:rPr>
      </w:r>
      <w:r/>
    </w:p>
    <w:p>
      <w:pPr>
        <w:rPr>
          <w:rFonts w:ascii="Arial" w:hAnsi="Arial" w:cs="Arial" w:eastAsia="Arial"/>
        </w:rPr>
      </w:pPr>
      <w:r>
        <w:rPr>
          <w:rFonts w:ascii="Arial" w:hAnsi="Arial" w:cs="Arial" w:eastAsia="Arial"/>
          <w:b/>
          <w:sz w:val="24"/>
          <w:lang w:eastAsia="it-IT"/>
        </w:rPr>
        <w:t xml:space="preserve">AFFIDAMENTO DELLA RISCOSSIONE COATTIVA DELLE ENTRATE TRIBUTARIE IMU, TARI CUP E DELLE LAMPADE VOTIVE ALLA DITTA ABACO SPA A SEGUITO DI PROCEDURA DI GARA APERTA E DIFFERIMENTO SCADENZE VERSAMENTO CUP </w:t>
      </w:r>
      <w:r>
        <w:rPr>
          <w:rFonts w:ascii="Arial" w:hAnsi="Arial" w:cs="Arial" w:eastAsia="Arial"/>
          <w:sz w:val="24"/>
        </w:rPr>
      </w:r>
      <w:r/>
    </w:p>
    <w:p>
      <w:pPr>
        <w:jc w:val="both"/>
        <w:tabs>
          <w:tab w:val="left" w:pos="708" w:leader="none"/>
          <w:tab w:val="center" w:pos="4819" w:leader="none"/>
          <w:tab w:val="right" w:pos="9638" w:leader="none"/>
        </w:tabs>
        <w:rPr>
          <w:rFonts w:ascii="Arial" w:hAnsi="Arial" w:cs="Arial" w:eastAsia="Arial"/>
        </w:rPr>
        <w:pBdr>
          <w:bottom w:val="single" w:color="000000" w:sz="6" w:space="0"/>
        </w:pBdr>
      </w:pPr>
      <w:r>
        <w:rPr>
          <w:rFonts w:ascii="Arial" w:hAnsi="Arial" w:cs="Arial" w:eastAsia="Arial"/>
          <w:sz w:val="24"/>
          <w:lang w:eastAsia="it-IT"/>
        </w:rPr>
      </w:r>
      <w:r>
        <w:rPr>
          <w:rFonts w:ascii="Arial" w:hAnsi="Arial" w:cs="Arial" w:eastAsia="Arial"/>
          <w:sz w:val="24"/>
        </w:rPr>
      </w:r>
      <w:r/>
    </w:p>
    <w:p>
      <w:pPr>
        <w:tabs>
          <w:tab w:val="left" w:pos="708" w:leader="none"/>
          <w:tab w:val="center" w:pos="4819" w:leader="none"/>
          <w:tab w:val="right" w:pos="9638" w:leader="none"/>
        </w:tabs>
        <w:rPr>
          <w:rFonts w:ascii="Arial" w:hAnsi="Arial" w:cs="Arial" w:eastAsia="Arial"/>
        </w:rPr>
      </w:pPr>
      <w:r>
        <w:rPr>
          <w:rFonts w:ascii="Arial" w:hAnsi="Arial" w:cs="Arial" w:eastAsia="Arial"/>
          <w:sz w:val="24"/>
          <w:lang w:eastAsia="it-IT"/>
        </w:rPr>
      </w:r>
      <w:r>
        <w:rPr>
          <w:rFonts w:ascii="Arial" w:hAnsi="Arial" w:cs="Arial" w:eastAsia="Arial"/>
          <w:sz w:val="24"/>
        </w:rPr>
      </w:r>
      <w:r/>
    </w:p>
    <w:p>
      <w:pPr>
        <w:pStyle w:val="774"/>
      </w:pPr>
      <w:r/>
      <w:r/>
    </w:p>
    <w:p>
      <w:pPr>
        <w:jc w:val="center"/>
        <w:rPr>
          <w:rFonts w:ascii="Arial" w:hAnsi="Arial" w:cs="Arial" w:eastAsia="Arial"/>
          <w:b/>
          <w:sz w:val="24"/>
          <w:highlight w:val="none"/>
        </w:rPr>
      </w:pPr>
      <w:r>
        <w:rPr>
          <w:rFonts w:ascii="Arial" w:hAnsi="Arial" w:cs="Arial" w:eastAsia="Arial"/>
          <w:b/>
          <w:sz w:val="24"/>
          <w:highlight w:val="none"/>
        </w:rPr>
      </w:r>
      <w:r>
        <w:rPr>
          <w:rFonts w:ascii="Arial" w:hAnsi="Arial" w:cs="Arial" w:eastAsia="Arial"/>
          <w:b/>
          <w:sz w:val="24"/>
          <w:highlight w:val="none"/>
        </w:rPr>
      </w:r>
      <w:r/>
    </w:p>
    <w:p>
      <w:pPr>
        <w:pStyle w:val="760"/>
        <w:jc w:val="center"/>
        <w:rPr>
          <w:rFonts w:ascii="Arial" w:hAnsi="Arial" w:cs="Arial" w:eastAsia="Arial"/>
          <w:b/>
          <w:bCs/>
          <w:sz w:val="24"/>
          <w:szCs w:val="24"/>
          <w:highlight w:val="none"/>
        </w:rPr>
      </w:pPr>
      <w:r>
        <w:rPr>
          <w:rFonts w:ascii="Arial" w:hAnsi="Arial" w:cs="Arial" w:eastAsia="Arial"/>
          <w:b/>
          <w:sz w:val="24"/>
        </w:rPr>
        <w:t xml:space="preserve">IL CONSIGLIO COMUNALE</w:t>
      </w:r>
      <w:r>
        <w:rPr>
          <w:rFonts w:ascii="Arial" w:hAnsi="Arial" w:cs="Arial" w:eastAsia="Arial"/>
          <w:b/>
          <w:bCs/>
          <w:sz w:val="24"/>
          <w:szCs w:val="24"/>
          <w:highlight w:val="none"/>
        </w:rPr>
      </w:r>
      <w:r/>
    </w:p>
    <w:p>
      <w:pPr>
        <w:jc w:val="left"/>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ind w:left="0" w:right="0" w:firstLine="0"/>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PREMESSO CHE</w:t>
      </w:r>
      <w:r/>
    </w:p>
    <w:p>
      <w:pPr>
        <w:numPr>
          <w:ilvl w:val="0"/>
          <w:numId w:val="1"/>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Il Comune ha precedentemente affidato il servizio di riscossione coattiva delle proprie entrate ad Agenzia delle Entrate-Riscossione (ADER), ai sensi del </w:t>
      </w:r>
      <w:hyperlink r:id="rId11" w:tooltip="https://www.normattiva.it/" w:history="1">
        <w:r>
          <w:rPr>
            <w:rStyle w:val="750"/>
            <w:rFonts w:ascii="Arial" w:hAnsi="Arial" w:cs="Arial" w:eastAsia="Arial"/>
            <w:color w:val="467886"/>
            <w:sz w:val="24"/>
            <w:u w:val="single"/>
          </w:rPr>
          <w:t xml:space="preserve">D.L. n. 193/2016</w:t>
        </w:r>
      </w:hyperlink>
      <w:r>
        <w:rPr>
          <w:rFonts w:ascii="Arial" w:hAnsi="Arial" w:cs="Arial" w:eastAsia="Arial"/>
          <w:color w:val="000000"/>
          <w:sz w:val="24"/>
        </w:rPr>
        <w:t xml:space="preserve"> con delibera n. 61 del 26-06-2017 </w:t>
      </w:r>
      <w:r/>
    </w:p>
    <w:p>
      <w:pPr>
        <w:numPr>
          <w:ilvl w:val="0"/>
          <w:numId w:val="1"/>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L'art. 52 del D.Lgs. 446/1997 riconosce agli enti locali la piena potestà regolamentare e la facoltà di deliberare la cessazione delle funzioni di riscossione ad ADER, optando per modelli gestionali alternativi ritenuti più efficienti e aderenti alle speci</w:t>
      </w:r>
      <w:r>
        <w:rPr>
          <w:rFonts w:ascii="Arial" w:hAnsi="Arial" w:cs="Arial" w:eastAsia="Arial"/>
          <w:color w:val="000000"/>
          <w:sz w:val="24"/>
        </w:rPr>
        <w:t xml:space="preserve">ficità del territorio.</w:t>
      </w:r>
      <w:r/>
    </w:p>
    <w:p>
      <w:pPr>
        <w:ind w:left="0" w:right="0" w:firstLine="0"/>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RICHIAMATE</w:t>
      </w:r>
      <w:r/>
    </w:p>
    <w:p>
      <w:pPr>
        <w:numPr>
          <w:ilvl w:val="0"/>
          <w:numId w:val="2"/>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La deliberazione di Giunta Comunale n. 113 del 20/11/2025, con la quale l’Amministrazione ha espresso l'atto di indirizzo per l'esternalizzazione del servizio mediante concessione a soggetti privati iscritti all'Albo (</w:t>
      </w:r>
      <w:r>
        <w:rPr>
          <w:rFonts w:ascii="Arial" w:hAnsi="Arial" w:cs="Arial" w:eastAsia="Arial"/>
          <w:i/>
          <w:color w:val="000000"/>
          <w:sz w:val="24"/>
        </w:rPr>
        <w:t xml:space="preserve">ex</w:t>
      </w:r>
      <w:r>
        <w:rPr>
          <w:rFonts w:ascii="Arial" w:hAnsi="Arial" w:cs="Arial" w:eastAsia="Arial"/>
          <w:color w:val="000000"/>
          <w:sz w:val="24"/>
        </w:rPr>
        <w:t xml:space="preserve"> art. 53 del D.Lgs. 446/1997) e contestuale indizione di procedura ad evidenza pubblica.</w:t>
      </w:r>
      <w:r/>
    </w:p>
    <w:p>
      <w:pPr>
        <w:numPr>
          <w:ilvl w:val="0"/>
          <w:numId w:val="2"/>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La determinazione dirigenziale n. 32 del 25/02/2026 con cui è stata avviata la procedura telematica aperta per l’affidamento in concessione della riscossione coattiva delle entrate tributarie comunali, nonché la gestione del Canone Unico Patrimoniale e del</w:t>
      </w:r>
      <w:r>
        <w:rPr>
          <w:rFonts w:ascii="Arial" w:hAnsi="Arial" w:cs="Arial" w:eastAsia="Arial"/>
          <w:color w:val="000000"/>
          <w:sz w:val="24"/>
        </w:rPr>
        <w:t xml:space="preserve">le lampade votive.</w:t>
      </w:r>
      <w:r/>
    </w:p>
    <w:p>
      <w:pPr>
        <w:numPr>
          <w:ilvl w:val="0"/>
          <w:numId w:val="2"/>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La determinazione dirigenziale n. 140 del 17/07/2026 di presa d’atto dell’aggiudicazione definitiva della gara ai sensi dell’art. 17 del D.Lgs 36/2023.</w:t>
      </w:r>
      <w:r/>
    </w:p>
    <w:p>
      <w:pPr>
        <w:ind w:left="0" w:right="0" w:firstLine="0"/>
        <w:jc w:val="both"/>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CONSIDERATO CHE</w:t>
      </w:r>
      <w:r/>
    </w:p>
    <w:p>
      <w:pPr>
        <w:numPr>
          <w:ilvl w:val="0"/>
          <w:numId w:val="3"/>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È necessario disporre la formale cessazione dell'affidamento ad Agen</w:t>
      </w:r>
      <w:r>
        <w:rPr>
          <w:rFonts w:ascii="Arial" w:hAnsi="Arial" w:cs="Arial" w:eastAsia="Arial"/>
          <w:color w:val="000000"/>
          <w:sz w:val="24"/>
        </w:rPr>
        <w:t xml:space="preserve">zia delle Entrate-Riscossione (ADER) per i carichi futuri limitatamente alle seguenti entrate: IMU, TARI, CUP, lampade votive; stabilendo la precisa decorrenza del subentro del nuovo concessionario per evitare soluzioni di continuità nell'azione di recuper</w:t>
      </w:r>
      <w:r>
        <w:rPr>
          <w:rFonts w:ascii="Arial" w:hAnsi="Arial" w:cs="Arial" w:eastAsia="Arial"/>
          <w:color w:val="000000"/>
          <w:sz w:val="24"/>
        </w:rPr>
        <w:t xml:space="preserve">o crediti.</w:t>
      </w:r>
      <w:r/>
    </w:p>
    <w:p>
      <w:pPr>
        <w:numPr>
          <w:ilvl w:val="0"/>
          <w:numId w:val="3"/>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In base alla normativa vigente, i </w:t>
      </w:r>
      <w:r>
        <w:rPr>
          <w:rFonts w:ascii="Arial" w:hAnsi="Arial" w:cs="Arial" w:eastAsia="Arial"/>
          <w:color w:val="000000"/>
          <w:sz w:val="24"/>
        </w:rPr>
        <w:t xml:space="preserve">ruoli/carichi già precedentemente consegnati ad ADER per le entrate sopra individuate, antecedenti alla data di subentro rimarranno in gestione alla stessa ADER fino all'esaurimento delle relative procedure esecutive, salvo diversi accordi o specifici prov</w:t>
      </w:r>
      <w:r>
        <w:rPr>
          <w:rFonts w:ascii="Arial" w:hAnsi="Arial" w:cs="Arial" w:eastAsia="Arial"/>
          <w:color w:val="000000"/>
          <w:sz w:val="24"/>
        </w:rPr>
        <w:t xml:space="preserve">vedimenti di revoca dei singoli carichi.</w:t>
      </w:r>
      <w:r/>
    </w:p>
    <w:p>
      <w:pPr>
        <w:numPr>
          <w:ilvl w:val="0"/>
          <w:numId w:val="3"/>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La competenza ad adottare il presente atto risiede in capo al Consiglio Comunale ai sensi dell'art. 42, comma 2, lett. g) del D.Lgs. n. 267/2000 (TUEL), trattandosi di organizzazione dei pubblici servizi e di affidamento degli stessi in concessione.</w:t>
      </w:r>
      <w:r/>
    </w:p>
    <w:p>
      <w:pPr>
        <w:ind w:left="0" w:right="0" w:firstLine="0"/>
        <w:jc w:val="both"/>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RICHIAMATA la deliberazione di Consiglio Comunale n. 22 del 29/04/2026 con cui si è disposta la posticipazione della scadenza del versamento annuale CUP al 31.07-2026;</w:t>
      </w:r>
      <w:r/>
    </w:p>
    <w:p>
      <w:pPr>
        <w:ind w:left="0" w:right="0" w:firstLine="0"/>
        <w:jc w:val="both"/>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RISCONTRATO che l'iter procedurale ha subito un prolungamento dei tempi ordinari a causa della necessità di rispondere a delle richieste di chiarimenti da parte di alcuni operatori economici concorrenti che hanno comportato la rettifica di alcuni documenti</w:t>
      </w:r>
      <w:r>
        <w:rPr>
          <w:rFonts w:ascii="Arial" w:hAnsi="Arial" w:cs="Arial" w:eastAsia="Arial"/>
          <w:color w:val="000000"/>
          <w:sz w:val="24"/>
        </w:rPr>
        <w:t xml:space="preserve"> di gara e conseguentemente un differimento dei termini di pubblicazione antecedenti la presentazione delle offerte;</w:t>
      </w:r>
      <w:r/>
    </w:p>
    <w:p>
      <w:pPr>
        <w:ind w:left="0" w:firstLine="0"/>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La</w:t>
      </w:r>
      <w:r>
        <w:rPr>
          <w:rFonts w:ascii="Arial" w:hAnsi="Arial" w:cs="Arial" w:eastAsia="Arial"/>
          <w:color w:val="000000"/>
          <w:sz w:val="24"/>
        </w:rPr>
        <w:t xml:space="preserve"> stazione appaltante, inoltre, ha dovuto attivare la procedura di verifica dell'offerta anomalmente bassa, richiedendo le relative giustificazioni tecniche ed economiche al fine di garantire la sostenibilità del servizio e la tutela dell'Ente con conseguen</w:t>
      </w:r>
      <w:r>
        <w:rPr>
          <w:rFonts w:ascii="Arial" w:hAnsi="Arial" w:cs="Arial" w:eastAsia="Arial"/>
          <w:color w:val="000000"/>
          <w:sz w:val="24"/>
        </w:rPr>
        <w:t xml:space="preserve">te scorrimento dei tempi per addivenire all’aggiudicazione del servizio;</w:t>
      </w:r>
      <w:r/>
    </w:p>
    <w:p>
      <w:pPr>
        <w:ind w:left="0" w:right="0" w:firstLine="0"/>
        <w:jc w:val="both"/>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CONSIDERATO CHE:</w:t>
      </w:r>
      <w:r/>
    </w:p>
    <w:p>
      <w:pPr>
        <w:numPr>
          <w:ilvl w:val="0"/>
          <w:numId w:val="5"/>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L'espletamento di tali doverosi controlli e l'esame delle risposte hanno posticipato l'aggiudicazione definitiva a ridosso della scadenza del tributo così come individuata dalla delibera consiliare n. 22 sopracitata;</w:t>
      </w:r>
      <w:r/>
    </w:p>
    <w:p>
      <w:pPr>
        <w:numPr>
          <w:ilvl w:val="0"/>
          <w:numId w:val="5"/>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Il ridotto intervallo temporale non consentirebbe al nuovo concessionario subentrante di completare l’elaborazione dell’emissione e della tempestiva spedizione degli avvisi di pagamento con i relativi modelli pagoPA per il CUP 2026;</w:t>
      </w:r>
      <w:r/>
    </w:p>
    <w:p>
      <w:pPr>
        <w:ind w:left="0" w:right="0" w:firstLine="0"/>
        <w:jc w:val="both"/>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RITENUTO OPPORTUNO posticipare la scadenza del versamento annuale del CUP per poter garantire al nuovo concessionario la gestione dell’intero anno visti i tempi che si sono resi necessari per la conclusione della procedura di gara e l’affidamento del servi</w:t>
      </w:r>
      <w:r>
        <w:rPr>
          <w:rFonts w:ascii="Arial" w:hAnsi="Arial" w:cs="Arial" w:eastAsia="Arial"/>
          <w:color w:val="000000"/>
          <w:sz w:val="24"/>
        </w:rPr>
        <w:t xml:space="preserve">zio;</w:t>
      </w:r>
      <w:r/>
    </w:p>
    <w:p>
      <w:pPr>
        <w:ind w:left="0" w:right="0" w:firstLine="0"/>
        <w:jc w:val="both"/>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RITENUTO opportuno differire il termine di versamento del Canone Unico Patrimoniale dell’anno 2026 dal 31 luglio al 15 settembre senza creare pregiudizio all’Ente in termini di accertamento di entrata così come pr</w:t>
      </w:r>
      <w:r>
        <w:rPr>
          <w:rFonts w:ascii="Arial" w:hAnsi="Arial" w:cs="Arial" w:eastAsia="Arial"/>
          <w:color w:val="000000"/>
          <w:sz w:val="24"/>
        </w:rPr>
        <w:t xml:space="preserve">evisto nel bilancio di previsione 2026/2028; </w:t>
      </w:r>
      <w:r/>
    </w:p>
    <w:p>
      <w:pPr>
        <w:ind w:left="0" w:right="0" w:firstLine="0"/>
        <w:jc w:val="both"/>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VISTI:</w:t>
      </w:r>
      <w:r/>
    </w:p>
    <w:p>
      <w:pPr>
        <w:numPr>
          <w:ilvl w:val="0"/>
          <w:numId w:val="6"/>
        </w:numPr>
        <w:jc w:val="both"/>
        <w:spacing w:before="0" w:after="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Il D.Lgs. n. 36/2023 (Codice dei Contratti Pubblici), con particolare riferimento alle norme sul soccorso istruttorio e sulla verifica delle offerte anomale;</w:t>
      </w:r>
      <w:r/>
    </w:p>
    <w:p>
      <w:pPr>
        <w:numPr>
          <w:ilvl w:val="0"/>
          <w:numId w:val="6"/>
        </w:numPr>
        <w:jc w:val="both"/>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Il principio di collaborazione e buona fede di cui all'art. 10 della Legge n. 212/2000 (Statuto del Contribuente);</w:t>
      </w:r>
      <w:r/>
    </w:p>
    <w:p>
      <w:pPr>
        <w:ind w:left="0" w:right="0" w:firstLine="0"/>
        <w:jc w:val="both"/>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 </w:t>
      </w:r>
      <w:r/>
    </w:p>
    <w:p>
      <w:pPr>
        <w:ind w:left="0" w:right="0" w:firstLine="0"/>
        <w:jc w:val="both"/>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VISTI I PARERI</w:t>
      </w:r>
      <w:r/>
    </w:p>
    <w:p>
      <w:pPr>
        <w:numPr>
          <w:ilvl w:val="0"/>
          <w:numId w:val="7"/>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Il parere favorevole di regolarità tecnica e contabile espresso dalla dirigente dei Tributi ai sensi dell'art. 49 del D.Lgs. 267/2000.</w:t>
      </w:r>
      <w:r/>
    </w:p>
    <w:p>
      <w:pPr>
        <w:ind w:left="720" w:firstLine="0"/>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highlight w:val="none"/>
        </w:rPr>
        <w:t xml:space="preserve">Dott.ssa Anna Tiberi</w:t>
      </w:r>
      <w:r>
        <w:rPr>
          <w:rFonts w:ascii="Arial" w:hAnsi="Arial" w:cs="Arial" w:eastAsia="Arial"/>
          <w:color w:val="000000"/>
          <w:sz w:val="24"/>
          <w:highlight w:val="none"/>
        </w:rPr>
      </w:r>
      <w:r/>
    </w:p>
    <w:p>
      <w:pPr>
        <w:numPr>
          <w:ilvl w:val="0"/>
          <w:numId w:val="7"/>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Il parere espresso dall'Organo di Revisione Economico-Finanziaria, allegato al presente atto.</w:t>
      </w:r>
      <w:r/>
    </w:p>
    <w:p>
      <w:pPr>
        <w:ind w:left="0" w:right="0" w:firstLine="0"/>
        <w:jc w:val="center"/>
        <w:spacing w:before="0" w:after="160" w:line="276" w:lineRule="atLeast"/>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DELIBERA</w:t>
      </w:r>
      <w:r/>
    </w:p>
    <w:p>
      <w:pPr>
        <w:numPr>
          <w:ilvl w:val="0"/>
          <w:numId w:val="8"/>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Di dare atto delle premesse quali parti integranti, sostanziali e motivazionali del presente provvedimento.</w:t>
      </w:r>
      <w:r/>
    </w:p>
    <w:p>
      <w:pPr>
        <w:numPr>
          <w:ilvl w:val="0"/>
          <w:numId w:val="8"/>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Di prendere atto delle risultanze della procedura di gara ad evidenza pubblica e della contestuale determinazione dirigenziale n. 140 del 17-07-2026 di aggiudicazione efficace del servizio di riscossione coattiva, nonchè di gestione del CUP e delle lampade</w:t>
      </w:r>
      <w:r>
        <w:rPr>
          <w:rFonts w:ascii="Arial" w:hAnsi="Arial" w:cs="Arial" w:eastAsia="Arial"/>
          <w:color w:val="000000"/>
          <w:sz w:val="24"/>
        </w:rPr>
        <w:t xml:space="preserve"> votive in favore della Società Abaco Spa.</w:t>
      </w:r>
      <w:r/>
    </w:p>
    <w:p>
      <w:pPr>
        <w:numPr>
          <w:ilvl w:val="0"/>
          <w:numId w:val="8"/>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Di disporre la ces</w:t>
      </w:r>
      <w:r>
        <w:rPr>
          <w:rFonts w:ascii="Arial" w:hAnsi="Arial" w:cs="Arial" w:eastAsia="Arial"/>
          <w:color w:val="000000"/>
          <w:sz w:val="24"/>
        </w:rPr>
        <w:t xml:space="preserve">sazione dell'affidamento ad Agenzia delle Entrate-Riscossione (ADER) delle attività di riscossione coattiva limitatamente alle entrate IMU, TARI, CUP e Lampade votive  del Comune di Osimo, con effetto decorrente dalla data di aggiudicazione della gara (16/</w:t>
      </w:r>
      <w:r>
        <w:rPr>
          <w:rFonts w:ascii="Arial" w:hAnsi="Arial" w:cs="Arial" w:eastAsia="Arial"/>
          <w:color w:val="000000"/>
          <w:sz w:val="24"/>
        </w:rPr>
        <w:t xml:space="preserve">07/2026).</w:t>
      </w:r>
      <w:r/>
    </w:p>
    <w:p>
      <w:pPr>
        <w:numPr>
          <w:ilvl w:val="0"/>
          <w:numId w:val="8"/>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Di stabilire che ad ADER non verr</w:t>
      </w:r>
      <w:r>
        <w:rPr>
          <w:rFonts w:ascii="Arial" w:hAnsi="Arial" w:cs="Arial" w:eastAsia="Arial"/>
          <w:color w:val="000000"/>
          <w:sz w:val="24"/>
        </w:rPr>
        <w:t xml:space="preserve">anno più trasmessi nuovi flussi di carico (minute/ruoli) per le entrate sopra individuate a partire dalla data indicata al punto precedente, fermo restando che ADER continuerà a gestire i carichi già ad essa consegnati fino alla data del subentro, eseguend</w:t>
      </w:r>
      <w:r>
        <w:rPr>
          <w:rFonts w:ascii="Arial" w:hAnsi="Arial" w:cs="Arial" w:eastAsia="Arial"/>
          <w:color w:val="000000"/>
          <w:sz w:val="24"/>
        </w:rPr>
        <w:t xml:space="preserve">o le relative azioni esecutive e cautelari già avviate fino alla loro conclusione o rendicontazione di inesigibilità.</w:t>
      </w:r>
      <w:r/>
    </w:p>
    <w:p>
      <w:pPr>
        <w:numPr>
          <w:ilvl w:val="0"/>
          <w:numId w:val="8"/>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Di affidare in concessione al</w:t>
      </w:r>
      <w:r>
        <w:rPr>
          <w:rFonts w:ascii="Arial" w:hAnsi="Arial" w:cs="Arial" w:eastAsia="Arial"/>
          <w:color w:val="000000"/>
          <w:sz w:val="24"/>
        </w:rPr>
        <w:t xml:space="preserve">la Società Abaco Spa il servizio di riscossione coattiva delle entrate comunali sopracitate a far data dalla sottoscrizione del contratto per un periodi di cinque anni secondo i patti, le condizioni e l'aggio approvati in sede di gara e formalizzati nel Ca</w:t>
      </w:r>
      <w:r>
        <w:rPr>
          <w:rFonts w:ascii="Arial" w:hAnsi="Arial" w:cs="Arial" w:eastAsia="Arial"/>
          <w:color w:val="000000"/>
          <w:sz w:val="24"/>
        </w:rPr>
        <w:t xml:space="preserve">pitolato Speciale d'Appalto.</w:t>
      </w:r>
      <w:r/>
    </w:p>
    <w:p>
      <w:pPr>
        <w:numPr>
          <w:ilvl w:val="0"/>
          <w:numId w:val="8"/>
        </w:numPr>
        <w:jc w:val="both"/>
        <w:spacing w:before="0" w:after="160" w:line="276" w:lineRule="atLeast"/>
        <w:tabs>
          <w:tab w:val="left" w:pos="720" w:leader="none"/>
        </w:tabs>
        <w:rPr>
          <w:rFonts w:ascii="Arial" w:hAnsi="Arial" w:cs="Arial" w:eastAsia="Arial"/>
          <w:sz w:val="24"/>
        </w:rPr>
        <w:pBdr>
          <w:top w:val="none" w:color="000000" w:sz="4" w:space="0"/>
          <w:left w:val="none" w:color="000000" w:sz="4" w:space="0"/>
          <w:bottom w:val="none" w:color="000000" w:sz="4" w:space="0"/>
          <w:right w:val="none" w:color="000000" w:sz="4" w:space="0"/>
        </w:pBdr>
      </w:pPr>
      <w:r>
        <w:rPr>
          <w:rFonts w:ascii="Arial" w:hAnsi="Arial" w:cs="Arial" w:eastAsia="Arial"/>
          <w:color w:val="000000"/>
          <w:sz w:val="24"/>
          <w:highlight w:val="none"/>
        </w:rPr>
      </w:r>
      <w:r>
        <w:rPr>
          <w:rFonts w:ascii="Arial" w:hAnsi="Arial" w:cs="Arial" w:eastAsia="Arial"/>
          <w:color w:val="000000"/>
          <w:sz w:val="24"/>
        </w:rPr>
        <w:t xml:space="preserve">Di differire il termine di versamento del Canone Unico Patrimoniale dell’anno 2026 dal 31 luglio al 15 settembre senza creare pregiudizio all’Ente in termini di accertamento di entrata così come pr</w:t>
      </w:r>
      <w:r>
        <w:rPr>
          <w:rFonts w:ascii="Arial" w:hAnsi="Arial" w:cs="Arial" w:eastAsia="Arial"/>
          <w:color w:val="000000"/>
          <w:sz w:val="24"/>
        </w:rPr>
        <w:t xml:space="preserve">evisto nel bilancio di previsione 2026/2028</w:t>
      </w:r>
      <w:r>
        <w:rPr>
          <w:rFonts w:ascii="Arial" w:hAnsi="Arial" w:cs="Arial" w:eastAsia="Arial"/>
          <w:color w:val="000000"/>
          <w:sz w:val="24"/>
          <w:highlight w:val="none"/>
        </w:rPr>
        <w:t xml:space="preserve">.</w:t>
      </w:r>
      <w:r>
        <w:rPr>
          <w:rFonts w:ascii="Arial" w:hAnsi="Arial" w:cs="Arial" w:eastAsia="Arial"/>
          <w:color w:val="000000"/>
          <w:sz w:val="24"/>
          <w:highlight w:val="none"/>
        </w:rPr>
      </w:r>
      <w:r/>
    </w:p>
    <w:p>
      <w:pPr>
        <w:numPr>
          <w:ilvl w:val="0"/>
          <w:numId w:val="8"/>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Di demandare al Responsabile del Servizio Finanziario la sottoscrizione del contratto di concessione, nonché la tempestiva notifica della presente deliberazione alla Direzione Regionale di Agenzia delle Entrate-Riscossione per gli adempimenti di competenza</w:t>
      </w:r>
      <w:r>
        <w:rPr>
          <w:rFonts w:ascii="Arial" w:hAnsi="Arial" w:cs="Arial" w:eastAsia="Arial"/>
          <w:color w:val="000000"/>
          <w:sz w:val="24"/>
        </w:rPr>
        <w:t xml:space="preserve">.</w:t>
      </w:r>
      <w:r>
        <w:rPr>
          <w:rFonts w:ascii="Arial" w:hAnsi="Arial" w:cs="Arial" w:eastAsia="Arial"/>
          <w:sz w:val="24"/>
        </w:rPr>
      </w:r>
      <w:r/>
    </w:p>
    <w:p>
      <w:pPr>
        <w:numPr>
          <w:ilvl w:val="0"/>
          <w:numId w:val="8"/>
        </w:numPr>
        <w:jc w:val="both"/>
        <w:spacing w:before="0" w:after="160" w:line="276" w:lineRule="atLeast"/>
        <w:tabs>
          <w:tab w:val="left" w:pos="720" w:leader="none"/>
        </w:tabs>
        <w:pBdr>
          <w:top w:val="none" w:color="000000" w:sz="4" w:space="0"/>
          <w:left w:val="none" w:color="000000" w:sz="4" w:space="0"/>
          <w:bottom w:val="none" w:color="000000" w:sz="4" w:space="0"/>
          <w:right w:val="none" w:color="000000" w:sz="4" w:space="0"/>
        </w:pBdr>
      </w:pPr>
      <w:r>
        <w:rPr>
          <w:rFonts w:ascii="Arial" w:hAnsi="Arial" w:cs="Arial" w:eastAsia="Arial"/>
          <w:color w:val="000000"/>
          <w:sz w:val="24"/>
        </w:rPr>
        <w:t xml:space="preserve">Di dichiarare il presente provvedimento immediatamente eseguibile ai sensi dell'art. 134, comma 4, del D.Lgs. n. 267/2000 per ragioni di urgenza connesse alla continuità della gestione delle entrate.</w:t>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rPr>
          <w:rFonts w:ascii="Arial" w:hAnsi="Arial" w:cs="Arial" w:eastAsia="Arial"/>
          <w:b/>
          <w:bCs/>
          <w:sz w:val="24"/>
          <w:szCs w:val="24"/>
          <w:highlight w:val="none"/>
        </w:rPr>
      </w:pPr>
      <w:r>
        <w:rPr>
          <w:rFonts w:ascii="Arial" w:hAnsi="Arial" w:cs="Arial" w:eastAsia="Arial"/>
          <w:b/>
          <w:bCs/>
          <w:sz w:val="24"/>
          <w:szCs w:val="24"/>
          <w:highlight w:val="none"/>
        </w:rPr>
      </w:r>
      <w:r>
        <w:rPr>
          <w:rFonts w:ascii="Arial" w:hAnsi="Arial" w:cs="Arial" w:eastAsia="Arial"/>
          <w:b/>
          <w:bCs/>
          <w:sz w:val="24"/>
          <w:szCs w:val="24"/>
          <w:highlight w:val="none"/>
        </w:rPr>
      </w:r>
      <w:r/>
    </w:p>
    <w:p>
      <w:pPr>
        <w:jc w:val="center"/>
      </w:pPr>
      <w:r>
        <w:rPr>
          <w:rFonts w:ascii="Arial" w:hAnsi="Arial" w:cs="Arial" w:eastAsia="Arial"/>
          <w:b/>
          <w:sz w:val="24"/>
          <w:highlight w:val="none"/>
        </w:rPr>
      </w:r>
      <w:r>
        <w:rPr>
          <w:rFonts w:ascii="Arial" w:hAnsi="Arial" w:cs="Arial" w:eastAsia="Arial"/>
          <w:b/>
          <w:sz w:val="24"/>
          <w:highlight w:val="none"/>
        </w:rPr>
      </w:r>
      <w:r/>
    </w:p>
    <w:p>
      <w:pPr>
        <w:jc w:val="center"/>
      </w:pPr>
      <w:r>
        <w:rPr>
          <w:rFonts w:ascii="Arial" w:hAnsi="Arial" w:cs="Arial" w:eastAsia="Arial"/>
          <w:b/>
          <w:sz w:val="24"/>
          <w:highlight w:val="none"/>
        </w:rPr>
        <w:t xml:space="preserve">***</w:t>
      </w:r>
      <w:r>
        <w:rPr>
          <w:rFonts w:ascii="Arial" w:hAnsi="Arial" w:cs="Arial" w:eastAsia="Arial"/>
          <w:b/>
          <w:sz w:val="24"/>
          <w:highlight w:val="none"/>
        </w:rPr>
      </w:r>
      <w:r/>
    </w:p>
    <w:p>
      <w:pPr>
        <w:jc w:val="left"/>
        <w:rPr>
          <w:bCs/>
          <w:i/>
          <w:sz w:val="20"/>
          <w:szCs w:val="20"/>
        </w:rPr>
      </w:pPr>
      <w:r>
        <w:rPr>
          <w:rFonts w:ascii="Arial" w:hAnsi="Arial" w:cs="Arial" w:eastAsia="Arial"/>
          <w:b/>
          <w:i/>
          <w:iCs/>
          <w:sz w:val="20"/>
          <w:szCs w:val="20"/>
          <w:highlight w:val="none"/>
        </w:rPr>
        <w:t xml:space="preserve">A</w:t>
      </w:r>
      <w:r>
        <w:rPr>
          <w:rFonts w:ascii="Arial" w:hAnsi="Arial" w:cs="Arial" w:eastAsia="Arial"/>
          <w:b/>
          <w:i/>
          <w:iCs/>
          <w:sz w:val="20"/>
          <w:szCs w:val="20"/>
          <w:highlight w:val="none"/>
        </w:rPr>
        <w:t xml:space="preserve">i sensi dell’art.35 del Regolamento del Consiglio Comunale, le sedute pubbliche del Consiglio Comunale vengono riprese e trasmesse via web e sono integralmente registrate su supporto digitale. Dette registrazioni sono consultabili attraverso il sito Intern</w:t>
      </w:r>
      <w:r>
        <w:rPr>
          <w:rFonts w:ascii="Arial" w:hAnsi="Arial" w:cs="Arial" w:eastAsia="Arial"/>
          <w:b/>
          <w:i/>
          <w:iCs/>
          <w:sz w:val="20"/>
          <w:szCs w:val="20"/>
          <w:highlight w:val="none"/>
        </w:rPr>
        <w:t xml:space="preserve">et del Comune.</w:t>
      </w:r>
      <w:r>
        <w:rPr>
          <w:bCs/>
          <w:i/>
          <w:sz w:val="20"/>
          <w:szCs w:val="20"/>
        </w:rPr>
      </w:r>
      <w:r/>
    </w:p>
    <w:p>
      <w:pPr>
        <w:jc w:val="center"/>
        <w:rPr>
          <w:rFonts w:ascii="Arial" w:hAnsi="Arial" w:cs="Arial" w:eastAsia="Arial"/>
          <w:b/>
          <w:bCs/>
          <w:sz w:val="24"/>
          <w:szCs w:val="24"/>
          <w:highlight w:val="none"/>
        </w:rPr>
      </w:pPr>
      <w:r>
        <w:rPr>
          <w:rFonts w:ascii="Arial" w:hAnsi="Arial" w:cs="Arial" w:eastAsia="Arial"/>
          <w:b/>
          <w:sz w:val="24"/>
          <w:highlight w:val="none"/>
        </w:rPr>
        <w:t xml:space="preserve">***</w:t>
      </w:r>
      <w:r>
        <w:rPr>
          <w:rFonts w:ascii="Arial" w:hAnsi="Arial" w:cs="Arial" w:eastAsia="Arial"/>
          <w:b/>
          <w:bCs/>
          <w:sz w:val="24"/>
          <w:szCs w:val="24"/>
          <w:highlight w:val="none"/>
        </w:rPr>
      </w:r>
      <w:r/>
    </w:p>
    <w:sectPr>
      <w:headerReference w:type="default" r:id="rId9"/>
      <w:footerReference w:type="default" r:id="rId10"/>
      <w:footnotePr/>
      <w:endnotePr/>
      <w:type w:val="nextPage"/>
      <w:pgSz w:w="11906" w:h="16838" w:orient="portrait"/>
      <w:pgMar w:top="1134" w:right="1134" w:bottom="1134" w:left="1134"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Times New Roman">
    <w:panose1 w:val="02020603050405020304"/>
  </w:font>
  <w:font w:name="Wingdings">
    <w:panose1 w:val="05010000000000000000"/>
  </w:font>
  <w:font w:name="Symbol">
    <w:panose1 w:val="05010000000000000000"/>
  </w:font>
  <w:font w:name="Arial">
    <w:panose1 w:val="020B0604020202020204"/>
  </w:font>
  <w:font w:name="SimSun">
    <w:panose1 w:val="02020603020101020101"/>
  </w:font>
  <w:font w:name="Courier New">
    <w:panose1 w:val="02070309020205020404"/>
  </w:font>
  <w:font w:name="Mangal">
    <w:panose1 w:val="02020603050405020304"/>
  </w:font>
  <w:font w:name="Liberation Serif">
    <w:panose1 w:val="02020603050405020304"/>
  </w:font>
  <w:font w:name="Calibri">
    <w:panose1 w:val="020F05020202040302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Arial" w:hAnsi="Arial" w:cs="Arial" w:eastAsia="Arial"/>
        <w:color w:val="000000"/>
        <w:sz w:val="18"/>
        <w:highlight w:val="none"/>
      </w:rPr>
    </w:r>
    <w:r/>
  </w:p>
  <w:p>
    <w:pPr>
      <w:ind w:left="0" w:right="0" w:firstLine="0"/>
      <w:jc w:val="left"/>
      <w:spacing w:before="0" w:after="0"/>
      <w:rPr>
        <w:rFonts w:ascii="Arial" w:hAnsi="Arial" w:cs="Arial" w:eastAsia="Arial"/>
        <w:color w:val="000000"/>
        <w:highlight w:val="none"/>
      </w:rPr>
      <w:pBdr>
        <w:top w:val="none" w:color="000000" w:sz="4" w:space="0"/>
        <w:left w:val="none" w:color="000000" w:sz="4" w:space="0"/>
        <w:bottom w:val="none" w:color="000000" w:sz="4" w:space="0"/>
        <w:right w:val="none" w:color="000000" w:sz="4" w:space="0"/>
      </w:pBdr>
    </w:pPr>
    <w:r>
      <w:rPr>
        <w:rFonts w:ascii="Arial" w:hAnsi="Arial" w:cs="Arial" w:eastAsia="Arial"/>
        <w:color w:val="000000"/>
        <w:sz w:val="18"/>
      </w:rPr>
      <w:t xml:space="preserve">Proposta di </w:t>
    </w:r>
    <w:r>
      <w:rPr>
        <w:rFonts w:ascii="Arial" w:hAnsi="Arial" w:cs="Arial" w:eastAsia="Arial"/>
        <w:color w:val="000000"/>
        <w:sz w:val="18"/>
      </w:rPr>
      <w:t xml:space="preserve">Delibera di Consiglio</w:t>
    </w:r>
    <w:r>
      <w:rPr>
        <w:rFonts w:ascii="Arial" w:hAnsi="Arial" w:cs="Arial" w:eastAsia="Arial"/>
        <w:color w:val="000000"/>
        <w:sz w:val="18"/>
      </w:rPr>
      <w:t xml:space="preserve"> n. 853 del 17/07/2026</w:t>
    </w:r>
    <w:r>
      <w:rPr>
        <w:rFonts w:ascii="Arial" w:hAnsi="Arial" w:cs="Arial" w:eastAsia="Arial"/>
        <w:color w:val="000000"/>
        <w:highlight w:val="none"/>
      </w:rPr>
    </w:r>
    <w:r/>
  </w:p>
  <w:p>
    <w:pPr>
      <w:pStyle w:val="747"/>
      <w:jc w:val="right"/>
      <w:rPr>
        <w:rFonts w:ascii="Arial" w:hAnsi="Arial" w:cs="Arial" w:eastAsia="Arial"/>
        <w:highlight w:val="none"/>
      </w:rPr>
    </w:pPr>
    <w:r>
      <w:rPr>
        <w:rFonts w:ascii="Arial" w:hAnsi="Arial" w:cs="Arial" w:eastAsia="Arial"/>
        <w:sz w:val="18"/>
      </w:rPr>
      <w:t xml:space="preserve">Pag. </w:t>
    </w:r>
    <w:fldSimple w:instr="PAGE \* MERGEFORMAT">
      <w:r>
        <w:rPr>
          <w:rFonts w:ascii="Arial" w:hAnsi="Arial" w:cs="Arial" w:eastAsia="Arial"/>
          <w:sz w:val="18"/>
        </w:rPr>
        <w:t xml:space="preserve">1</w:t>
      </w:r>
    </w:fldSimple>
    <w:r>
      <w:rPr>
        <w:rFonts w:ascii="Arial" w:hAnsi="Arial" w:cs="Arial" w:eastAsia="Arial"/>
        <w:sz w:val="18"/>
      </w:rPr>
    </w:r>
    <w:r>
      <w:rPr>
        <w:rFonts w:ascii="Arial" w:hAnsi="Arial" w:cs="Arial" w:eastAsia="Arial"/>
        <w:highlight w:val="none"/>
      </w:rPr>
    </w:r>
    <w:r/>
  </w:p>
  <w:p>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5"/>
    </w:pPr>
    <w:r/>
    <w:r/>
  </w:p>
  <w:p>
    <w:r>
      <w:rPr>
        <w:rFonts w:ascii="Times New Roman" w:hAnsi="Times New Roman" w:cs="Times New Roman" w:eastAsia="Times New Roman"/>
        <w:lang w:bidi="ar-SA" w:eastAsia="it-IT"/>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-226695</wp:posOffset>
              </wp:positionH>
              <wp:positionV relativeFrom="paragraph">
                <wp:posOffset>-144145</wp:posOffset>
              </wp:positionV>
              <wp:extent cx="1444625" cy="1776730"/>
              <wp:effectExtent l="0" t="0" r="0" b="0"/>
              <wp:wrapNone/>
              <wp:docPr id="1" name="Immagine 1" descr="logo1"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80020" name="Immagine 1" descr="logo1" hidden="0"/>
                      <pic:cNvPicPr>
                        <a:picLocks noChangeAspect="1"/>
                      </pic:cNvPicPr>
                      <pic:nvPr isPhoto="0" userDrawn="0"/>
                    </pic:nvPicPr>
                    <pic:blipFill>
                      <a:blip r:embed="rId1"/>
                      <a:stretch/>
                    </pic:blipFill>
                    <pic:spPr bwMode="auto">
                      <a:xfrm rot="0" flipH="0" flipV="0">
                        <a:off x="0" y="0"/>
                        <a:ext cx="1444624" cy="1776729"/>
                      </a:xfrm>
                      <a:prstGeom prst="rect">
                        <a:avLst/>
                      </a:prstGeom>
                      <a:noFill/>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9264;o:allowoverlap:true;o:allowincell:true;mso-position-horizontal-relative:text;margin-left:-17.8pt;mso-position-horizontal:absolute;mso-position-vertical-relative:text;margin-top:-11.3pt;mso-position-vertical:absolute;width:113.8pt;height:139.9pt;rotation:0;" stroked="false">
              <v:path textboxrect="0,0,0,0"/>
              <v:imagedata r:id="rId1" o:title=""/>
            </v:shape>
          </w:pict>
        </mc:Fallback>
      </mc:AlternateContent>
    </w:r>
    <w:r/>
  </w:p>
  <w:p>
    <w:pPr>
      <w:pStyle w:val="788"/>
    </w:pPr>
    <w:r/>
    <w:r/>
  </w:p>
  <w:p>
    <w:r/>
    <w:r/>
  </w:p>
  <w:p>
    <w:r/>
    <w:r/>
  </w:p>
  <w:p>
    <w:r/>
    <w:r/>
  </w:p>
  <w:p>
    <w:r/>
    <w:r/>
  </w:p>
  <w:p>
    <w: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Wingdings" w:hAnsi="Wingdings" w:cs="Wingdings" w:eastAsia="Wingdings" w:hint="default"/>
      </w:rPr>
    </w:lvl>
    <w:lvl w:ilvl="4">
      <w:start w:val="1"/>
      <w:numFmt w:val="bullet"/>
      <w:isLgl w:val="false"/>
      <w:suff w:val="tab"/>
      <w:lvlText w:val=""/>
      <w:lvlJc w:val="left"/>
      <w:pPr>
        <w:ind w:left="3600" w:hanging="360"/>
      </w:pPr>
      <w:rPr>
        <w:rFonts w:ascii="Wingdings" w:hAnsi="Wingdings" w:cs="Wingdings" w:eastAsia="Wingdings"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Wingdings" w:hAnsi="Wingdings" w:cs="Wingdings" w:eastAsia="Wingdings" w:hint="default"/>
      </w:rPr>
    </w:lvl>
    <w:lvl w:ilvl="7">
      <w:start w:val="1"/>
      <w:numFmt w:val="bullet"/>
      <w:isLgl w:val="false"/>
      <w:suff w:val="tab"/>
      <w:lvlText w:val=""/>
      <w:lvlJc w:val="left"/>
      <w:pPr>
        <w:ind w:left="5760" w:hanging="360"/>
      </w:pPr>
      <w:rPr>
        <w:rFonts w:ascii="Wingdings" w:hAnsi="Wingdings" w:cs="Wingdings" w:eastAsia="Wingdings"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Wingdings" w:hAnsi="Wingdings" w:cs="Wingdings" w:eastAsia="Wingdings" w:hint="default"/>
      </w:rPr>
    </w:lvl>
    <w:lvl w:ilvl="4">
      <w:start w:val="1"/>
      <w:numFmt w:val="bullet"/>
      <w:isLgl w:val="false"/>
      <w:suff w:val="tab"/>
      <w:lvlText w:val=""/>
      <w:lvlJc w:val="left"/>
      <w:pPr>
        <w:ind w:left="3600" w:hanging="360"/>
      </w:pPr>
      <w:rPr>
        <w:rFonts w:ascii="Wingdings" w:hAnsi="Wingdings" w:cs="Wingdings" w:eastAsia="Wingdings"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Wingdings" w:hAnsi="Wingdings" w:cs="Wingdings" w:eastAsia="Wingdings" w:hint="default"/>
      </w:rPr>
    </w:lvl>
    <w:lvl w:ilvl="7">
      <w:start w:val="1"/>
      <w:numFmt w:val="bullet"/>
      <w:isLgl w:val="false"/>
      <w:suff w:val="tab"/>
      <w:lvlText w:val=""/>
      <w:lvlJc w:val="left"/>
      <w:pPr>
        <w:ind w:left="5760" w:hanging="360"/>
      </w:pPr>
      <w:rPr>
        <w:rFonts w:ascii="Wingdings" w:hAnsi="Wingdings" w:cs="Wingdings" w:eastAsia="Wingdings"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Wingdings" w:hAnsi="Wingdings" w:cs="Wingdings" w:eastAsia="Wingdings" w:hint="default"/>
      </w:rPr>
    </w:lvl>
    <w:lvl w:ilvl="4">
      <w:start w:val="1"/>
      <w:numFmt w:val="bullet"/>
      <w:isLgl w:val="false"/>
      <w:suff w:val="tab"/>
      <w:lvlText w:val=""/>
      <w:lvlJc w:val="left"/>
      <w:pPr>
        <w:ind w:left="3600" w:hanging="360"/>
      </w:pPr>
      <w:rPr>
        <w:rFonts w:ascii="Wingdings" w:hAnsi="Wingdings" w:cs="Wingdings" w:eastAsia="Wingdings"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Wingdings" w:hAnsi="Wingdings" w:cs="Wingdings" w:eastAsia="Wingdings" w:hint="default"/>
      </w:rPr>
    </w:lvl>
    <w:lvl w:ilvl="7">
      <w:start w:val="1"/>
      <w:numFmt w:val="bullet"/>
      <w:isLgl w:val="false"/>
      <w:suff w:val="tab"/>
      <w:lvlText w:val=""/>
      <w:lvlJc w:val="left"/>
      <w:pPr>
        <w:ind w:left="5760" w:hanging="360"/>
      </w:pPr>
      <w:rPr>
        <w:rFonts w:ascii="Wingdings" w:hAnsi="Wingdings" w:cs="Wingdings" w:eastAsia="Wingdings"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Wingdings" w:hAnsi="Wingdings" w:cs="Wingdings" w:eastAsia="Wingdings" w:hint="default"/>
      </w:rPr>
    </w:lvl>
    <w:lvl w:ilvl="4">
      <w:start w:val="1"/>
      <w:numFmt w:val="bullet"/>
      <w:isLgl w:val="false"/>
      <w:suff w:val="tab"/>
      <w:lvlText w:val=""/>
      <w:lvlJc w:val="left"/>
      <w:pPr>
        <w:ind w:left="3600" w:hanging="360"/>
      </w:pPr>
      <w:rPr>
        <w:rFonts w:ascii="Wingdings" w:hAnsi="Wingdings" w:cs="Wingdings" w:eastAsia="Wingdings"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Wingdings" w:hAnsi="Wingdings" w:cs="Wingdings" w:eastAsia="Wingdings" w:hint="default"/>
      </w:rPr>
    </w:lvl>
    <w:lvl w:ilvl="7">
      <w:start w:val="1"/>
      <w:numFmt w:val="bullet"/>
      <w:isLgl w:val="false"/>
      <w:suff w:val="tab"/>
      <w:lvlText w:val=""/>
      <w:lvlJc w:val="left"/>
      <w:pPr>
        <w:ind w:left="5760" w:hanging="360"/>
      </w:pPr>
      <w:rPr>
        <w:rFonts w:ascii="Wingdings" w:hAnsi="Wingdings" w:cs="Wingdings" w:eastAsia="Wingdings"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4">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Wingdings" w:hAnsi="Wingdings" w:cs="Wingdings" w:eastAsia="Wingdings" w:hint="default"/>
      </w:rPr>
    </w:lvl>
    <w:lvl w:ilvl="4">
      <w:start w:val="1"/>
      <w:numFmt w:val="bullet"/>
      <w:isLgl w:val="false"/>
      <w:suff w:val="tab"/>
      <w:lvlText w:val=""/>
      <w:lvlJc w:val="left"/>
      <w:pPr>
        <w:ind w:left="3600" w:hanging="360"/>
      </w:pPr>
      <w:rPr>
        <w:rFonts w:ascii="Wingdings" w:hAnsi="Wingdings" w:cs="Wingdings" w:eastAsia="Wingdings"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Wingdings" w:hAnsi="Wingdings" w:cs="Wingdings" w:eastAsia="Wingdings" w:hint="default"/>
      </w:rPr>
    </w:lvl>
    <w:lvl w:ilvl="7">
      <w:start w:val="1"/>
      <w:numFmt w:val="bullet"/>
      <w:isLgl w:val="false"/>
      <w:suff w:val="tab"/>
      <w:lvlText w:val=""/>
      <w:lvlJc w:val="left"/>
      <w:pPr>
        <w:ind w:left="5760" w:hanging="360"/>
      </w:pPr>
      <w:rPr>
        <w:rFonts w:ascii="Wingdings" w:hAnsi="Wingdings" w:cs="Wingdings" w:eastAsia="Wingdings"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5">
    <w:multiLevelType w:val="hybridMultilevel"/>
    <w:lvl w:ilvl="0">
      <w:start w:val="1"/>
      <w:numFmt w:val="bullet"/>
      <w:isLgl w:val="false"/>
      <w:suff w:val="tab"/>
      <w:lvlText w:val=""/>
      <w:lvlJc w:val="left"/>
      <w:pPr>
        <w:ind w:left="1440" w:hanging="360"/>
      </w:pPr>
      <w:rPr>
        <w:rFonts w:ascii="Symbol" w:hAnsi="Symbol" w:cs="Symbol" w:eastAsia="Symbol" w:hint="default"/>
      </w:rPr>
    </w:lvl>
    <w:lvl w:ilvl="1">
      <w:start w:val="1"/>
      <w:numFmt w:val="bullet"/>
      <w:isLgl w:val="false"/>
      <w:suff w:val="tab"/>
      <w:lvlText w:val="o"/>
      <w:lvlJc w:val="left"/>
      <w:pPr>
        <w:ind w:left="2160" w:hanging="360"/>
      </w:pPr>
      <w:rPr>
        <w:rFonts w:ascii="Courier New" w:hAnsi="Courier New" w:cs="Courier New" w:eastAsia="Courier New" w:hint="default"/>
      </w:rPr>
    </w:lvl>
    <w:lvl w:ilvl="2">
      <w:start w:val="1"/>
      <w:numFmt w:val="bullet"/>
      <w:isLgl w:val="false"/>
      <w:suff w:val="tab"/>
      <w:lvlText w:val=""/>
      <w:lvlJc w:val="left"/>
      <w:pPr>
        <w:ind w:left="2880" w:hanging="360"/>
      </w:pPr>
      <w:rPr>
        <w:rFonts w:ascii="Wingdings" w:hAnsi="Wingdings" w:cs="Wingdings" w:eastAsia="Wingdings" w:hint="default"/>
      </w:rPr>
    </w:lvl>
    <w:lvl w:ilvl="3">
      <w:start w:val="1"/>
      <w:numFmt w:val="bullet"/>
      <w:isLgl w:val="false"/>
      <w:suff w:val="tab"/>
      <w:lvlText w:val=""/>
      <w:lvlJc w:val="left"/>
      <w:pPr>
        <w:ind w:left="3600" w:hanging="360"/>
      </w:pPr>
      <w:rPr>
        <w:rFonts w:ascii="Symbol" w:hAnsi="Symbol" w:cs="Symbol" w:eastAsia="Symbol" w:hint="default"/>
      </w:rPr>
    </w:lvl>
    <w:lvl w:ilvl="4">
      <w:start w:val="1"/>
      <w:numFmt w:val="bullet"/>
      <w:isLgl w:val="false"/>
      <w:suff w:val="tab"/>
      <w:lvlText w:val="o"/>
      <w:lvlJc w:val="left"/>
      <w:pPr>
        <w:ind w:left="4320" w:hanging="360"/>
      </w:pPr>
      <w:rPr>
        <w:rFonts w:ascii="Courier New" w:hAnsi="Courier New" w:cs="Courier New" w:eastAsia="Courier New" w:hint="default"/>
      </w:rPr>
    </w:lvl>
    <w:lvl w:ilvl="5">
      <w:start w:val="1"/>
      <w:numFmt w:val="bullet"/>
      <w:isLgl w:val="false"/>
      <w:suff w:val="tab"/>
      <w:lvlText w:val=""/>
      <w:lvlJc w:val="left"/>
      <w:pPr>
        <w:ind w:left="5040" w:hanging="360"/>
      </w:pPr>
      <w:rPr>
        <w:rFonts w:ascii="Wingdings" w:hAnsi="Wingdings" w:cs="Wingdings" w:eastAsia="Wingdings" w:hint="default"/>
      </w:rPr>
    </w:lvl>
    <w:lvl w:ilvl="6">
      <w:start w:val="1"/>
      <w:numFmt w:val="bullet"/>
      <w:isLgl w:val="false"/>
      <w:suff w:val="tab"/>
      <w:lvlText w:val=""/>
      <w:lvlJc w:val="left"/>
      <w:pPr>
        <w:ind w:left="5760" w:hanging="360"/>
      </w:pPr>
      <w:rPr>
        <w:rFonts w:ascii="Symbol" w:hAnsi="Symbol" w:cs="Symbol" w:eastAsia="Symbol" w:hint="default"/>
      </w:rPr>
    </w:lvl>
    <w:lvl w:ilvl="7">
      <w:start w:val="1"/>
      <w:numFmt w:val="bullet"/>
      <w:isLgl w:val="false"/>
      <w:suff w:val="tab"/>
      <w:lvlText w:val="o"/>
      <w:lvlJc w:val="left"/>
      <w:pPr>
        <w:ind w:left="6480" w:hanging="360"/>
      </w:pPr>
      <w:rPr>
        <w:rFonts w:ascii="Courier New" w:hAnsi="Courier New" w:cs="Courier New" w:eastAsia="Courier New" w:hint="default"/>
      </w:rPr>
    </w:lvl>
    <w:lvl w:ilvl="8">
      <w:start w:val="1"/>
      <w:numFmt w:val="bullet"/>
      <w:isLgl w:val="false"/>
      <w:suff w:val="tab"/>
      <w:lvlText w:val=""/>
      <w:lvlJc w:val="left"/>
      <w:pPr>
        <w:ind w:left="7200" w:hanging="360"/>
      </w:pPr>
      <w:rPr>
        <w:rFonts w:ascii="Wingdings" w:hAnsi="Wingdings" w:cs="Wingdings" w:eastAsia="Wingdings" w:hint="default"/>
      </w:rPr>
    </w:lvl>
  </w:abstractNum>
  <w:abstractNum w:abstractNumId="6">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Wingdings" w:hAnsi="Wingdings" w:cs="Wingdings" w:eastAsia="Wingdings" w:hint="default"/>
      </w:rPr>
    </w:lvl>
    <w:lvl w:ilvl="4">
      <w:start w:val="1"/>
      <w:numFmt w:val="bullet"/>
      <w:isLgl w:val="false"/>
      <w:suff w:val="tab"/>
      <w:lvlText w:val=""/>
      <w:lvlJc w:val="left"/>
      <w:pPr>
        <w:ind w:left="3600" w:hanging="360"/>
      </w:pPr>
      <w:rPr>
        <w:rFonts w:ascii="Wingdings" w:hAnsi="Wingdings" w:cs="Wingdings" w:eastAsia="Wingdings"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Wingdings" w:hAnsi="Wingdings" w:cs="Wingdings" w:eastAsia="Wingdings" w:hint="default"/>
      </w:rPr>
    </w:lvl>
    <w:lvl w:ilvl="7">
      <w:start w:val="1"/>
      <w:numFmt w:val="bullet"/>
      <w:isLgl w:val="false"/>
      <w:suff w:val="tab"/>
      <w:lvlText w:val=""/>
      <w:lvlJc w:val="left"/>
      <w:pPr>
        <w:ind w:left="5760" w:hanging="360"/>
      </w:pPr>
      <w:rPr>
        <w:rFonts w:ascii="Wingdings" w:hAnsi="Wingdings" w:cs="Wingdings" w:eastAsia="Wingdings"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hAnsi="Liberation Serif" w:cs="Mangal" w:eastAsia="SimSun" w:hint="default"/>
        <w:sz w:val="24"/>
        <w:szCs w:val="24"/>
        <w:lang w:val="it-IT" w:bidi="hi-IN" w:eastAsia="zh-C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
    <w:name w:val="Normal"/>
    <w:qFormat/>
  </w:style>
  <w:style w:type="character" w:styleId="9">
    <w:name w:val="Default Paragraph Font"/>
    <w:uiPriority w:val="1"/>
    <w:semiHidden/>
    <w:unhideWhenUsed/>
  </w:style>
  <w:style w:type="numbering" w:styleId="10">
    <w:name w:val="No List"/>
    <w:uiPriority w:val="99"/>
    <w:semiHidden/>
    <w:unhideWhenUsed/>
  </w:style>
  <w:style w:type="paragraph" w:styleId="11">
    <w:name w:val="Heading 1"/>
    <w:basedOn w:val="8"/>
    <w:next w:val="8"/>
    <w:link w:val="12"/>
    <w:uiPriority w:val="9"/>
    <w:qFormat/>
    <w:pPr>
      <w:keepLines/>
      <w:keepNext/>
      <w:spacing w:before="480" w:after="200"/>
      <w:outlineLvl w:val="0"/>
    </w:pPr>
    <w:rPr>
      <w:rFonts w:ascii="Arial" w:hAnsi="Arial" w:cs="Arial" w:eastAsia="Arial"/>
      <w:sz w:val="40"/>
      <w:szCs w:val="40"/>
    </w:rPr>
  </w:style>
  <w:style w:type="character" w:styleId="12">
    <w:name w:val="Heading 1 Char"/>
    <w:basedOn w:val="9"/>
    <w:link w:val="11"/>
    <w:uiPriority w:val="9"/>
    <w:rPr>
      <w:rFonts w:ascii="Arial" w:hAnsi="Arial" w:cs="Arial" w:eastAsia="Arial"/>
      <w:sz w:val="40"/>
      <w:szCs w:val="40"/>
    </w:rPr>
  </w:style>
  <w:style w:type="paragraph" w:styleId="13">
    <w:name w:val="Heading 2"/>
    <w:basedOn w:val="8"/>
    <w:next w:val="8"/>
    <w:link w:val="14"/>
    <w:uiPriority w:val="9"/>
    <w:unhideWhenUsed/>
    <w:qFormat/>
    <w:pPr>
      <w:keepLines/>
      <w:keepNext/>
      <w:spacing w:before="360" w:after="200"/>
      <w:outlineLvl w:val="1"/>
    </w:pPr>
    <w:rPr>
      <w:rFonts w:ascii="Arial" w:hAnsi="Arial" w:cs="Arial" w:eastAsia="Arial"/>
      <w:sz w:val="34"/>
    </w:rPr>
  </w:style>
  <w:style w:type="character" w:styleId="14">
    <w:name w:val="Heading 2 Char"/>
    <w:basedOn w:val="9"/>
    <w:link w:val="13"/>
    <w:uiPriority w:val="9"/>
    <w:rPr>
      <w:rFonts w:ascii="Arial" w:hAnsi="Arial" w:cs="Arial" w:eastAsia="Arial"/>
      <w:sz w:val="34"/>
    </w:rPr>
  </w:style>
  <w:style w:type="paragraph" w:styleId="15">
    <w:name w:val="Heading 3"/>
    <w:basedOn w:val="8"/>
    <w:next w:val="8"/>
    <w:link w:val="16"/>
    <w:uiPriority w:val="9"/>
    <w:unhideWhenUsed/>
    <w:qFormat/>
    <w:pPr>
      <w:keepLines/>
      <w:keepNext/>
      <w:spacing w:before="320" w:after="200"/>
      <w:outlineLvl w:val="2"/>
    </w:pPr>
    <w:rPr>
      <w:rFonts w:ascii="Arial" w:hAnsi="Arial" w:cs="Arial" w:eastAsia="Arial"/>
      <w:sz w:val="30"/>
      <w:szCs w:val="30"/>
    </w:rPr>
  </w:style>
  <w:style w:type="character" w:styleId="16">
    <w:name w:val="Heading 3 Char"/>
    <w:basedOn w:val="9"/>
    <w:link w:val="15"/>
    <w:uiPriority w:val="9"/>
    <w:rPr>
      <w:rFonts w:ascii="Arial" w:hAnsi="Arial" w:cs="Arial" w:eastAsia="Arial"/>
      <w:sz w:val="30"/>
      <w:szCs w:val="30"/>
    </w:rPr>
  </w:style>
  <w:style w:type="paragraph" w:styleId="17">
    <w:name w:val="Heading 4"/>
    <w:basedOn w:val="8"/>
    <w:next w:val="8"/>
    <w:link w:val="18"/>
    <w:uiPriority w:val="9"/>
    <w:unhideWhenUsed/>
    <w:qFormat/>
    <w:pPr>
      <w:keepLines/>
      <w:keepNext/>
      <w:spacing w:before="320" w:after="200"/>
      <w:outlineLvl w:val="3"/>
    </w:pPr>
    <w:rPr>
      <w:rFonts w:ascii="Arial" w:hAnsi="Arial" w:cs="Arial" w:eastAsia="Arial"/>
      <w:b/>
      <w:bCs/>
      <w:sz w:val="26"/>
      <w:szCs w:val="26"/>
    </w:rPr>
  </w:style>
  <w:style w:type="character" w:styleId="18">
    <w:name w:val="Heading 4 Char"/>
    <w:basedOn w:val="9"/>
    <w:link w:val="17"/>
    <w:uiPriority w:val="9"/>
    <w:rPr>
      <w:rFonts w:ascii="Arial" w:hAnsi="Arial" w:cs="Arial" w:eastAsia="Arial"/>
      <w:b/>
      <w:bCs/>
      <w:sz w:val="26"/>
      <w:szCs w:val="26"/>
    </w:rPr>
  </w:style>
  <w:style w:type="paragraph" w:styleId="19">
    <w:name w:val="Heading 5"/>
    <w:basedOn w:val="8"/>
    <w:next w:val="8"/>
    <w:link w:val="20"/>
    <w:uiPriority w:val="9"/>
    <w:unhideWhenUsed/>
    <w:qFormat/>
    <w:pPr>
      <w:keepLines/>
      <w:keepNext/>
      <w:spacing w:before="320" w:after="200"/>
      <w:outlineLvl w:val="4"/>
    </w:pPr>
    <w:rPr>
      <w:rFonts w:ascii="Arial" w:hAnsi="Arial" w:cs="Arial" w:eastAsia="Arial"/>
      <w:b/>
      <w:bCs/>
      <w:sz w:val="24"/>
      <w:szCs w:val="24"/>
    </w:rPr>
  </w:style>
  <w:style w:type="character" w:styleId="20">
    <w:name w:val="Heading 5 Char"/>
    <w:basedOn w:val="9"/>
    <w:link w:val="19"/>
    <w:uiPriority w:val="9"/>
    <w:rPr>
      <w:rFonts w:ascii="Arial" w:hAnsi="Arial" w:cs="Arial" w:eastAsia="Arial"/>
      <w:b/>
      <w:bCs/>
      <w:sz w:val="24"/>
      <w:szCs w:val="24"/>
    </w:rPr>
  </w:style>
  <w:style w:type="paragraph" w:styleId="21">
    <w:name w:val="Heading 6"/>
    <w:basedOn w:val="8"/>
    <w:next w:val="8"/>
    <w:link w:val="22"/>
    <w:uiPriority w:val="9"/>
    <w:unhideWhenUsed/>
    <w:qFormat/>
    <w:pPr>
      <w:keepLines/>
      <w:keepNext/>
      <w:spacing w:before="320" w:after="200"/>
      <w:outlineLvl w:val="5"/>
    </w:pPr>
    <w:rPr>
      <w:rFonts w:ascii="Arial" w:hAnsi="Arial" w:cs="Arial" w:eastAsia="Arial"/>
      <w:b/>
      <w:bCs/>
      <w:sz w:val="22"/>
      <w:szCs w:val="22"/>
    </w:rPr>
  </w:style>
  <w:style w:type="character" w:styleId="22">
    <w:name w:val="Heading 6 Char"/>
    <w:basedOn w:val="9"/>
    <w:link w:val="21"/>
    <w:uiPriority w:val="9"/>
    <w:rPr>
      <w:rFonts w:ascii="Arial" w:hAnsi="Arial" w:cs="Arial" w:eastAsia="Arial"/>
      <w:b/>
      <w:bCs/>
      <w:sz w:val="22"/>
      <w:szCs w:val="22"/>
    </w:rPr>
  </w:style>
  <w:style w:type="paragraph" w:styleId="23">
    <w:name w:val="Heading 7"/>
    <w:basedOn w:val="8"/>
    <w:next w:val="8"/>
    <w:link w:val="24"/>
    <w:uiPriority w:val="9"/>
    <w:unhideWhenUsed/>
    <w:qFormat/>
    <w:pPr>
      <w:keepLines/>
      <w:keepNext/>
      <w:spacing w:before="320" w:after="200"/>
      <w:outlineLvl w:val="6"/>
    </w:pPr>
    <w:rPr>
      <w:rFonts w:ascii="Arial" w:hAnsi="Arial" w:cs="Arial" w:eastAsia="Arial"/>
      <w:b/>
      <w:bCs/>
      <w:i/>
      <w:iCs/>
      <w:sz w:val="22"/>
      <w:szCs w:val="22"/>
    </w:rPr>
  </w:style>
  <w:style w:type="character" w:styleId="24">
    <w:name w:val="Heading 7 Char"/>
    <w:basedOn w:val="9"/>
    <w:link w:val="23"/>
    <w:uiPriority w:val="9"/>
    <w:rPr>
      <w:rFonts w:ascii="Arial" w:hAnsi="Arial" w:cs="Arial" w:eastAsia="Arial"/>
      <w:b/>
      <w:bCs/>
      <w:i/>
      <w:iCs/>
      <w:sz w:val="22"/>
      <w:szCs w:val="22"/>
    </w:rPr>
  </w:style>
  <w:style w:type="paragraph" w:styleId="25">
    <w:name w:val="Heading 8"/>
    <w:basedOn w:val="8"/>
    <w:next w:val="8"/>
    <w:link w:val="26"/>
    <w:uiPriority w:val="9"/>
    <w:unhideWhenUsed/>
    <w:qFormat/>
    <w:pPr>
      <w:keepLines/>
      <w:keepNext/>
      <w:spacing w:before="320" w:after="200"/>
      <w:outlineLvl w:val="7"/>
    </w:pPr>
    <w:rPr>
      <w:rFonts w:ascii="Arial" w:hAnsi="Arial" w:cs="Arial" w:eastAsia="Arial"/>
      <w:i/>
      <w:iCs/>
      <w:sz w:val="22"/>
      <w:szCs w:val="22"/>
    </w:rPr>
  </w:style>
  <w:style w:type="character" w:styleId="26">
    <w:name w:val="Heading 8 Char"/>
    <w:basedOn w:val="9"/>
    <w:link w:val="25"/>
    <w:uiPriority w:val="9"/>
    <w:rPr>
      <w:rFonts w:ascii="Arial" w:hAnsi="Arial" w:cs="Arial" w:eastAsia="Arial"/>
      <w:i/>
      <w:iCs/>
      <w:sz w:val="22"/>
      <w:szCs w:val="22"/>
    </w:rPr>
  </w:style>
  <w:style w:type="paragraph" w:styleId="27">
    <w:name w:val="Heading 9"/>
    <w:basedOn w:val="8"/>
    <w:next w:val="8"/>
    <w:link w:val="28"/>
    <w:uiPriority w:val="9"/>
    <w:unhideWhenUsed/>
    <w:qFormat/>
    <w:pPr>
      <w:keepLines/>
      <w:keepNext/>
      <w:spacing w:before="320" w:after="200"/>
      <w:outlineLvl w:val="8"/>
    </w:pPr>
    <w:rPr>
      <w:rFonts w:ascii="Arial" w:hAnsi="Arial" w:cs="Arial" w:eastAsia="Arial"/>
      <w:i/>
      <w:iCs/>
      <w:sz w:val="21"/>
      <w:szCs w:val="21"/>
    </w:rPr>
  </w:style>
  <w:style w:type="character" w:styleId="28">
    <w:name w:val="Heading 9 Char"/>
    <w:basedOn w:val="9"/>
    <w:link w:val="27"/>
    <w:uiPriority w:val="9"/>
    <w:rPr>
      <w:rFonts w:ascii="Arial" w:hAnsi="Arial" w:cs="Arial" w:eastAsia="Arial"/>
      <w:i/>
      <w:iCs/>
      <w:sz w:val="21"/>
      <w:szCs w:val="21"/>
    </w:rPr>
  </w:style>
  <w:style w:type="paragraph" w:styleId="29">
    <w:name w:val="List Paragraph"/>
    <w:basedOn w:val="8"/>
    <w:uiPriority w:val="34"/>
    <w:qFormat/>
    <w:pPr>
      <w:contextualSpacing/>
      <w:ind w:left="720"/>
    </w:pPr>
  </w:style>
  <w:style w:type="table" w:styleId="30">
    <w:name w:val="Normal Table"/>
    <w:uiPriority w:val="99"/>
    <w:semiHidden/>
    <w:unhideWhenUsed/>
    <w:tblPr>
      <w:tblInd w:w="0" w:type="dxa"/>
      <w:tblCellMar>
        <w:left w:w="108" w:type="dxa"/>
        <w:top w:w="0" w:type="dxa"/>
        <w:right w:w="108" w:type="dxa"/>
        <w:bottom w:w="0" w:type="dxa"/>
      </w:tblCellMar>
    </w:tblPr>
  </w:style>
  <w:style w:type="paragraph" w:styleId="31">
    <w:name w:val="No Spacing"/>
    <w:uiPriority w:val="1"/>
    <w:qFormat/>
    <w:pPr>
      <w:spacing w:before="0" w:after="0" w:line="240" w:lineRule="auto"/>
    </w:pPr>
  </w:style>
  <w:style w:type="paragraph" w:styleId="32">
    <w:name w:val="Title"/>
    <w:basedOn w:val="8"/>
    <w:next w:val="8"/>
    <w:link w:val="33"/>
    <w:uiPriority w:val="10"/>
    <w:qFormat/>
    <w:pPr>
      <w:contextualSpacing/>
      <w:spacing w:before="300" w:after="200"/>
    </w:pPr>
    <w:rPr>
      <w:sz w:val="48"/>
      <w:szCs w:val="48"/>
    </w:rPr>
  </w:style>
  <w:style w:type="character" w:styleId="33">
    <w:name w:val="Title Char"/>
    <w:basedOn w:val="9"/>
    <w:link w:val="32"/>
    <w:uiPriority w:val="10"/>
    <w:rPr>
      <w:sz w:val="48"/>
      <w:szCs w:val="48"/>
    </w:rPr>
  </w:style>
  <w:style w:type="paragraph" w:styleId="34">
    <w:name w:val="Subtitle"/>
    <w:basedOn w:val="8"/>
    <w:next w:val="8"/>
    <w:link w:val="35"/>
    <w:uiPriority w:val="11"/>
    <w:qFormat/>
    <w:pPr>
      <w:spacing w:before="200" w:after="200"/>
    </w:pPr>
    <w:rPr>
      <w:sz w:val="24"/>
      <w:szCs w:val="24"/>
    </w:rPr>
  </w:style>
  <w:style w:type="character" w:styleId="35">
    <w:name w:val="Subtitle Char"/>
    <w:basedOn w:val="9"/>
    <w:link w:val="34"/>
    <w:uiPriority w:val="11"/>
    <w:rPr>
      <w:sz w:val="24"/>
      <w:szCs w:val="24"/>
    </w:rPr>
  </w:style>
  <w:style w:type="paragraph" w:styleId="36">
    <w:name w:val="Quote"/>
    <w:basedOn w:val="8"/>
    <w:next w:val="8"/>
    <w:link w:val="37"/>
    <w:uiPriority w:val="29"/>
    <w:qFormat/>
    <w:pPr>
      <w:ind w:left="720" w:right="720"/>
    </w:pPr>
    <w:rPr>
      <w:i/>
    </w:rPr>
  </w:style>
  <w:style w:type="character" w:styleId="37">
    <w:name w:val="Quote Char"/>
    <w:link w:val="36"/>
    <w:uiPriority w:val="29"/>
    <w:rPr>
      <w:i/>
    </w:rPr>
  </w:style>
  <w:style w:type="paragraph" w:styleId="38">
    <w:name w:val="Intense Quote"/>
    <w:basedOn w:val="8"/>
    <w:next w:val="8"/>
    <w:link w:val="3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39">
    <w:name w:val="Intense Quote Char"/>
    <w:link w:val="38"/>
    <w:uiPriority w:val="30"/>
    <w:rPr>
      <w:i/>
    </w:rPr>
  </w:style>
  <w:style w:type="paragraph" w:styleId="40">
    <w:name w:val="Header"/>
    <w:basedOn w:val="8"/>
    <w:link w:val="41"/>
    <w:uiPriority w:val="99"/>
    <w:unhideWhenUsed/>
    <w:pPr>
      <w:spacing w:after="0" w:line="240" w:lineRule="auto"/>
      <w:tabs>
        <w:tab w:val="center" w:pos="7143" w:leader="none"/>
        <w:tab w:val="right" w:pos="14287" w:leader="none"/>
      </w:tabs>
    </w:pPr>
  </w:style>
  <w:style w:type="character" w:styleId="41">
    <w:name w:val="Header Char"/>
    <w:basedOn w:val="9"/>
    <w:link w:val="40"/>
    <w:uiPriority w:val="99"/>
  </w:style>
  <w:style w:type="paragraph" w:styleId="42">
    <w:name w:val="Footer"/>
    <w:basedOn w:val="8"/>
    <w:link w:val="45"/>
    <w:uiPriority w:val="99"/>
    <w:unhideWhenUsed/>
    <w:pPr>
      <w:spacing w:after="0" w:line="240" w:lineRule="auto"/>
      <w:tabs>
        <w:tab w:val="center" w:pos="7143" w:leader="none"/>
        <w:tab w:val="right" w:pos="14287" w:leader="none"/>
      </w:tabs>
    </w:pPr>
  </w:style>
  <w:style w:type="character" w:styleId="43">
    <w:name w:val="Footer Char"/>
    <w:basedOn w:val="9"/>
    <w:link w:val="42"/>
    <w:uiPriority w:val="99"/>
  </w:style>
  <w:style w:type="paragraph" w:styleId="44">
    <w:name w:val="Caption"/>
    <w:basedOn w:val="8"/>
    <w:next w:val="8"/>
    <w:uiPriority w:val="35"/>
    <w:semiHidden/>
    <w:unhideWhenUsed/>
    <w:qFormat/>
    <w:pPr>
      <w:spacing w:line="276" w:lineRule="auto"/>
    </w:pPr>
    <w:rPr>
      <w:b/>
      <w:bCs/>
      <w:color w:val="4F81BD" w:themeColor="accent1"/>
      <w:sz w:val="18"/>
      <w:szCs w:val="18"/>
    </w:rPr>
  </w:style>
  <w:style w:type="character" w:styleId="45">
    <w:name w:val="Caption Char"/>
    <w:basedOn w:val="44"/>
    <w:link w:val="42"/>
    <w:uiPriority w:val="99"/>
  </w:style>
  <w:style w:type="table" w:styleId="46">
    <w:name w:val="Table Grid"/>
    <w:basedOn w:val="3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7">
    <w:name w:val="Table Grid Light"/>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8">
    <w:name w:val="Plain Table 1"/>
    <w:basedOn w:val="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3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1">
    <w:name w:val="Plain Table 4"/>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3">
    <w:name w:val="Grid Table 1 Light"/>
    <w:basedOn w:val="3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4">
    <w:name w:val="Grid Table 1 Light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5">
    <w:name w:val="Grid Table 1 Light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6">
    <w:name w:val="Grid Table 1 Light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7">
    <w:name w:val="Grid Table 1 Light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8">
    <w:name w:val="Grid Table 1 Light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59">
    <w:name w:val="Grid Table 1 Light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0">
    <w:name w:val="Grid Table 2"/>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1">
    <w:name w:val="Grid Table 2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2">
    <w:name w:val="Grid Table 2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3">
    <w:name w:val="Grid Table 2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4">
    <w:name w:val="Grid Table 2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5">
    <w:name w:val="Grid Table 2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6">
    <w:name w:val="Grid Table 2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7">
    <w:name w:val="Grid Table 3"/>
    <w:basedOn w:val="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8">
    <w:name w:val="Grid Table 3 - Accent 1"/>
    <w:basedOn w:val="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2"/>
    <w:basedOn w:val="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3"/>
    <w:basedOn w:val="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4"/>
    <w:basedOn w:val="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5"/>
    <w:basedOn w:val="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6"/>
    <w:basedOn w:val="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4"/>
    <w:basedOn w:val="3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
    <w:name w:val="Grid Table 4 - Accent 1"/>
    <w:basedOn w:val="3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6">
    <w:name w:val="Grid Table 4 - Accent 2"/>
    <w:basedOn w:val="3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7">
    <w:name w:val="Grid Table 4 - Accent 3"/>
    <w:basedOn w:val="3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8">
    <w:name w:val="Grid Table 4 - Accent 4"/>
    <w:basedOn w:val="3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
    <w:name w:val="Grid Table 4 - Accent 5"/>
    <w:basedOn w:val="3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0">
    <w:name w:val="Grid Table 4 - Accent 6"/>
    <w:basedOn w:val="3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1">
    <w:name w:val="Grid Table 5 Dark"/>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
    <w:name w:val="Grid Table 5 Dark- Accent 1"/>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3">
    <w:name w:val="Grid Table 5 Dark - Accent 2"/>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4">
    <w:name w:val="Grid Table 5 Dark - Accent 3"/>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5">
    <w:name w:val="Grid Table 5 Dark- Accent 4"/>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6">
    <w:name w:val="Grid Table 5 Dark - Accent 5"/>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7">
    <w:name w:val="Grid Table 5 Dark - Accent 6"/>
    <w:basedOn w:val="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8">
    <w:name w:val="Grid Table 6 Colorful"/>
    <w:basedOn w:val="3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3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3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3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3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3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6">
    <w:name w:val="Grid Table 7 Colorful - Accent 1"/>
    <w:basedOn w:val="3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7">
    <w:name w:val="Grid Table 7 Colorful - Accent 2"/>
    <w:basedOn w:val="3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8">
    <w:name w:val="Grid Table 7 Colorful - Accent 3"/>
    <w:basedOn w:val="3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99">
    <w:name w:val="Grid Table 7 Colorful - Accent 4"/>
    <w:basedOn w:val="3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0">
    <w:name w:val="Grid Table 7 Colorful - Accent 5"/>
    <w:basedOn w:val="3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1">
    <w:name w:val="Grid Table 7 Colorful - Accent 6"/>
    <w:basedOn w:val="3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2">
    <w:name w:val="List Table 1 Light"/>
    <w:basedOn w:val="3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
    <w:name w:val="List Table 1 Light - Accent 1"/>
    <w:basedOn w:val="30"/>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4">
    <w:name w:val="List Table 1 Light - Accent 2"/>
    <w:basedOn w:val="30"/>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5">
    <w:name w:val="List Table 1 Light - Accent 3"/>
    <w:basedOn w:val="30"/>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6">
    <w:name w:val="List Table 1 Light - Accent 4"/>
    <w:basedOn w:val="30"/>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7">
    <w:name w:val="List Table 1 Light - Accent 5"/>
    <w:basedOn w:val="30"/>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8">
    <w:name w:val="List Table 1 Light - Accent 6"/>
    <w:basedOn w:val="30"/>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9">
    <w:name w:val="List Table 2"/>
    <w:basedOn w:val="3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0">
    <w:name w:val="List Table 2 - Accent 1"/>
    <w:basedOn w:val="3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1">
    <w:name w:val="List Table 2 - Accent 2"/>
    <w:basedOn w:val="3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2">
    <w:name w:val="List Table 2 - Accent 3"/>
    <w:basedOn w:val="3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3">
    <w:name w:val="List Table 2 - Accent 4"/>
    <w:basedOn w:val="3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4">
    <w:name w:val="List Table 2 - Accent 5"/>
    <w:basedOn w:val="3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5">
    <w:name w:val="List Table 2 - Accent 6"/>
    <w:basedOn w:val="3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6">
    <w:name w:val="List Table 3"/>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7">
    <w:name w:val="List Table 3 - Accent 1"/>
    <w:basedOn w:val="3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18">
    <w:name w:val="List Table 3 - Accent 2"/>
    <w:basedOn w:val="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19">
    <w:name w:val="List Table 3 - Accent 3"/>
    <w:basedOn w:val="3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0">
    <w:name w:val="List Table 3 - Accent 4"/>
    <w:basedOn w:val="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1">
    <w:name w:val="List Table 3 - Accent 5"/>
    <w:basedOn w:val="3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2">
    <w:name w:val="List Table 3 - Accent 6"/>
    <w:basedOn w:val="3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3">
    <w:name w:val="List Table 4"/>
    <w:basedOn w:val="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
    <w:name w:val="List Table 4 - Accent 1"/>
    <w:basedOn w:val="3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5">
    <w:name w:val="List Table 4 - Accent 2"/>
    <w:basedOn w:val="3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6">
    <w:name w:val="List Table 4 - Accent 3"/>
    <w:basedOn w:val="3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7">
    <w:name w:val="List Table 4 - Accent 4"/>
    <w:basedOn w:val="3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8">
    <w:name w:val="List Table 4 - Accent 5"/>
    <w:basedOn w:val="3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9">
    <w:name w:val="List Table 4 - Accent 6"/>
    <w:basedOn w:val="3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0">
    <w:name w:val="List Table 5 Dark"/>
    <w:basedOn w:val="3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3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3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3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3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3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3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3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8">
    <w:name w:val="List Table 6 Colorful - Accent 1"/>
    <w:basedOn w:val="3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39">
    <w:name w:val="List Table 6 Colorful - Accent 2"/>
    <w:basedOn w:val="3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0">
    <w:name w:val="List Table 6 Colorful - Accent 3"/>
    <w:basedOn w:val="3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1">
    <w:name w:val="List Table 6 Colorful - Accent 4"/>
    <w:basedOn w:val="3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2">
    <w:name w:val="List Table 6 Colorful - Accent 5"/>
    <w:basedOn w:val="3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3">
    <w:name w:val="List Table 6 Colorful - Accent 6"/>
    <w:basedOn w:val="3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4">
    <w:name w:val="List Table 7 Colorful"/>
    <w:basedOn w:val="3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3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6">
    <w:name w:val="List Table 7 Colorful - Accent 2"/>
    <w:basedOn w:val="3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3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3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3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3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1">
    <w:name w:val="Lined - Accent"/>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2">
    <w:name w:val="Lined - Accent 1"/>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3">
    <w:name w:val="Lined - Accent 2"/>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4">
    <w:name w:val="Lined - Accent 3"/>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5">
    <w:name w:val="Lined - Accent 4"/>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6">
    <w:name w:val="Lined - Accent 5"/>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7">
    <w:name w:val="Lined - Accent 6"/>
    <w:basedOn w:val="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58">
    <w:name w:val="Bordered &amp; Lined - Accent"/>
    <w:basedOn w:val="3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9">
    <w:name w:val="Bordered &amp; Lined - Accent 1"/>
    <w:basedOn w:val="3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0">
    <w:name w:val="Bordered &amp; Lined - Accent 2"/>
    <w:basedOn w:val="3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1">
    <w:name w:val="Bordered &amp; Lined - Accent 3"/>
    <w:basedOn w:val="3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2">
    <w:name w:val="Bordered &amp; Lined - Accent 4"/>
    <w:basedOn w:val="3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3">
    <w:name w:val="Bordered &amp; Lined - Accent 5"/>
    <w:basedOn w:val="3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4">
    <w:name w:val="Bordered &amp; Lined - Accent 6"/>
    <w:basedOn w:val="3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5">
    <w:name w:val="Bordered"/>
    <w:basedOn w:val="3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6">
    <w:name w:val="Bordered - Accent 1"/>
    <w:basedOn w:val="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7">
    <w:name w:val="Bordered - Accent 2"/>
    <w:basedOn w:val="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8">
    <w:name w:val="Bordered - Accent 3"/>
    <w:basedOn w:val="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69">
    <w:name w:val="Bordered - Accent 4"/>
    <w:basedOn w:val="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0">
    <w:name w:val="Bordered - Accent 5"/>
    <w:basedOn w:val="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1">
    <w:name w:val="Bordered - Accent 6"/>
    <w:basedOn w:val="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2">
    <w:name w:val="Hyperlink"/>
    <w:uiPriority w:val="99"/>
    <w:unhideWhenUsed/>
    <w:rPr>
      <w:color w:val="0000FF" w:themeColor="hyperlink"/>
      <w:u w:val="single"/>
    </w:rPr>
  </w:style>
  <w:style w:type="paragraph" w:styleId="173">
    <w:name w:val="footnote text"/>
    <w:basedOn w:val="8"/>
    <w:link w:val="174"/>
    <w:uiPriority w:val="99"/>
    <w:semiHidden/>
    <w:unhideWhenUsed/>
    <w:pPr>
      <w:spacing w:after="40" w:line="240" w:lineRule="auto"/>
    </w:pPr>
    <w:rPr>
      <w:sz w:val="18"/>
    </w:rPr>
  </w:style>
  <w:style w:type="character" w:styleId="174">
    <w:name w:val="Footnote Text Char"/>
    <w:link w:val="173"/>
    <w:uiPriority w:val="99"/>
    <w:rPr>
      <w:sz w:val="18"/>
    </w:rPr>
  </w:style>
  <w:style w:type="character" w:styleId="175">
    <w:name w:val="footnote reference"/>
    <w:basedOn w:val="9"/>
    <w:uiPriority w:val="99"/>
    <w:unhideWhenUsed/>
    <w:rPr>
      <w:vertAlign w:val="superscript"/>
    </w:rPr>
  </w:style>
  <w:style w:type="paragraph" w:styleId="176">
    <w:name w:val="endnote text"/>
    <w:basedOn w:val="8"/>
    <w:link w:val="177"/>
    <w:uiPriority w:val="99"/>
    <w:semiHidden/>
    <w:unhideWhenUsed/>
    <w:pPr>
      <w:spacing w:after="0" w:line="240" w:lineRule="auto"/>
    </w:pPr>
    <w:rPr>
      <w:sz w:val="20"/>
    </w:rPr>
  </w:style>
  <w:style w:type="character" w:styleId="177">
    <w:name w:val="Endnote Text Char"/>
    <w:link w:val="176"/>
    <w:uiPriority w:val="99"/>
    <w:rPr>
      <w:sz w:val="20"/>
    </w:rPr>
  </w:style>
  <w:style w:type="character" w:styleId="178">
    <w:name w:val="endnote reference"/>
    <w:basedOn w:val="9"/>
    <w:uiPriority w:val="99"/>
    <w:semiHidden/>
    <w:unhideWhenUsed/>
    <w:rPr>
      <w:vertAlign w:val="superscript"/>
    </w:rPr>
  </w:style>
  <w:style w:type="paragraph" w:styleId="179">
    <w:name w:val="toc 1"/>
    <w:basedOn w:val="8"/>
    <w:next w:val="8"/>
    <w:uiPriority w:val="39"/>
    <w:unhideWhenUsed/>
    <w:pPr>
      <w:ind w:left="0" w:right="0" w:firstLine="0"/>
      <w:spacing w:after="57"/>
    </w:pPr>
  </w:style>
  <w:style w:type="paragraph" w:styleId="180">
    <w:name w:val="toc 2"/>
    <w:basedOn w:val="8"/>
    <w:next w:val="8"/>
    <w:uiPriority w:val="39"/>
    <w:unhideWhenUsed/>
    <w:pPr>
      <w:ind w:left="283" w:right="0" w:firstLine="0"/>
      <w:spacing w:after="57"/>
    </w:pPr>
  </w:style>
  <w:style w:type="paragraph" w:styleId="181">
    <w:name w:val="toc 3"/>
    <w:basedOn w:val="8"/>
    <w:next w:val="8"/>
    <w:uiPriority w:val="39"/>
    <w:unhideWhenUsed/>
    <w:pPr>
      <w:ind w:left="567" w:right="0" w:firstLine="0"/>
      <w:spacing w:after="57"/>
    </w:pPr>
  </w:style>
  <w:style w:type="paragraph" w:styleId="182">
    <w:name w:val="toc 4"/>
    <w:basedOn w:val="8"/>
    <w:next w:val="8"/>
    <w:uiPriority w:val="39"/>
    <w:unhideWhenUsed/>
    <w:pPr>
      <w:ind w:left="850" w:right="0" w:firstLine="0"/>
      <w:spacing w:after="57"/>
    </w:pPr>
  </w:style>
  <w:style w:type="paragraph" w:styleId="183">
    <w:name w:val="toc 5"/>
    <w:basedOn w:val="8"/>
    <w:next w:val="8"/>
    <w:uiPriority w:val="39"/>
    <w:unhideWhenUsed/>
    <w:pPr>
      <w:ind w:left="1134" w:right="0" w:firstLine="0"/>
      <w:spacing w:after="57"/>
    </w:pPr>
  </w:style>
  <w:style w:type="paragraph" w:styleId="184">
    <w:name w:val="toc 6"/>
    <w:basedOn w:val="8"/>
    <w:next w:val="8"/>
    <w:uiPriority w:val="39"/>
    <w:unhideWhenUsed/>
    <w:pPr>
      <w:ind w:left="1417" w:right="0" w:firstLine="0"/>
      <w:spacing w:after="57"/>
    </w:pPr>
  </w:style>
  <w:style w:type="paragraph" w:styleId="185">
    <w:name w:val="toc 7"/>
    <w:basedOn w:val="8"/>
    <w:next w:val="8"/>
    <w:uiPriority w:val="39"/>
    <w:unhideWhenUsed/>
    <w:pPr>
      <w:ind w:left="1701" w:right="0" w:firstLine="0"/>
      <w:spacing w:after="57"/>
    </w:pPr>
  </w:style>
  <w:style w:type="paragraph" w:styleId="186">
    <w:name w:val="toc 8"/>
    <w:basedOn w:val="8"/>
    <w:next w:val="8"/>
    <w:uiPriority w:val="39"/>
    <w:unhideWhenUsed/>
    <w:pPr>
      <w:ind w:left="1984" w:right="0" w:firstLine="0"/>
      <w:spacing w:after="57"/>
    </w:pPr>
  </w:style>
  <w:style w:type="paragraph" w:styleId="187">
    <w:name w:val="toc 9"/>
    <w:basedOn w:val="8"/>
    <w:next w:val="8"/>
    <w:uiPriority w:val="39"/>
    <w:unhideWhenUsed/>
    <w:pPr>
      <w:ind w:left="2268" w:right="0" w:firstLine="0"/>
      <w:spacing w:after="57"/>
    </w:pPr>
  </w:style>
  <w:style w:type="paragraph" w:styleId="188">
    <w:name w:val="TOC Heading"/>
    <w:uiPriority w:val="39"/>
    <w:unhideWhenUsed/>
  </w:style>
  <w:style w:type="paragraph" w:styleId="189">
    <w:name w:val="table of figures"/>
    <w:basedOn w:val="8"/>
    <w:next w:val="8"/>
    <w:uiPriority w:val="99"/>
    <w:unhideWhenUsed/>
    <w:pPr>
      <w:spacing w:after="0" w:afterAutospacing="0"/>
    </w:pPr>
  </w:style>
  <w:style w:type="paragraph" w:styleId="745">
    <w:name w:val="Header 04cb5963869e53879f0a4760d6eed8b9"/>
    <w:basedOn w:val="760"/>
    <w:link w:val="746"/>
    <w:uiPriority w:val="99"/>
    <w:unhideWhenUsed/>
    <w:pPr>
      <w:spacing w:after="0" w:line="240" w:lineRule="auto"/>
      <w:tabs>
        <w:tab w:val="center" w:pos="7143" w:leader="none"/>
        <w:tab w:val="right" w:pos="14287" w:leader="none"/>
      </w:tabs>
    </w:pPr>
  </w:style>
  <w:style w:type="character" w:styleId="746">
    <w:name w:val="Header Char 04cb5963869e53879f0a4760d6eed8b9"/>
    <w:link w:val="745"/>
    <w:uiPriority w:val="99"/>
  </w:style>
  <w:style w:type="paragraph" w:styleId="747">
    <w:name w:val="Footer 04cb5963869e53879f0a4760d6eed8b9"/>
    <w:basedOn w:val="760"/>
    <w:link w:val="749"/>
    <w:uiPriority w:val="99"/>
    <w:unhideWhenUsed/>
    <w:pPr>
      <w:spacing w:after="0" w:line="240" w:lineRule="auto"/>
      <w:tabs>
        <w:tab w:val="center" w:pos="7143" w:leader="none"/>
        <w:tab w:val="right" w:pos="14287" w:leader="none"/>
      </w:tabs>
    </w:pPr>
  </w:style>
  <w:style w:type="character" w:styleId="748">
    <w:name w:val="Footer Char 04cb5963869e53879f0a4760d6eed8b9"/>
    <w:link w:val="747"/>
    <w:uiPriority w:val="99"/>
  </w:style>
  <w:style w:type="character" w:styleId="749">
    <w:name w:val="Caption Char 04cb5963869e53879f0a4760d6eed8b9"/>
    <w:link w:val="747"/>
    <w:uiPriority w:val="99"/>
  </w:style>
  <w:style w:type="character" w:styleId="750">
    <w:name w:val="Hyperlink 04cb5963869e53879f0a4760d6eed8b9"/>
    <w:uiPriority w:val="99"/>
    <w:unhideWhenUsed/>
    <w:rPr>
      <w:color w:val="0000FF" w:themeColor="hyperlink"/>
      <w:u w:val="single"/>
    </w:rPr>
  </w:style>
  <w:style w:type="paragraph" w:styleId="751">
    <w:name w:val="toc 1 04cb5963869e53879f0a4760d6eed8b9"/>
    <w:basedOn w:val="760"/>
    <w:uiPriority w:val="39"/>
    <w:unhideWhenUsed/>
    <w:pPr>
      <w:ind w:left="0" w:right="0" w:firstLine="0"/>
      <w:spacing w:after="57"/>
    </w:pPr>
  </w:style>
  <w:style w:type="paragraph" w:styleId="752">
    <w:name w:val="toc 2 04cb5963869e53879f0a4760d6eed8b9"/>
    <w:basedOn w:val="760"/>
    <w:uiPriority w:val="39"/>
    <w:unhideWhenUsed/>
    <w:pPr>
      <w:ind w:left="283" w:right="0" w:firstLine="0"/>
      <w:spacing w:after="57"/>
    </w:pPr>
  </w:style>
  <w:style w:type="paragraph" w:styleId="753">
    <w:name w:val="toc 3 04cb5963869e53879f0a4760d6eed8b9"/>
    <w:basedOn w:val="760"/>
    <w:uiPriority w:val="39"/>
    <w:unhideWhenUsed/>
    <w:pPr>
      <w:ind w:left="567" w:right="0" w:firstLine="0"/>
      <w:spacing w:after="57"/>
    </w:pPr>
  </w:style>
  <w:style w:type="paragraph" w:styleId="754">
    <w:name w:val="toc 4 04cb5963869e53879f0a4760d6eed8b9"/>
    <w:basedOn w:val="760"/>
    <w:uiPriority w:val="39"/>
    <w:unhideWhenUsed/>
    <w:pPr>
      <w:ind w:left="850" w:right="0" w:firstLine="0"/>
      <w:spacing w:after="57"/>
    </w:pPr>
  </w:style>
  <w:style w:type="paragraph" w:styleId="755">
    <w:name w:val="toc 5 04cb5963869e53879f0a4760d6eed8b9"/>
    <w:basedOn w:val="760"/>
    <w:uiPriority w:val="39"/>
    <w:unhideWhenUsed/>
    <w:pPr>
      <w:ind w:left="1134" w:right="0" w:firstLine="0"/>
      <w:spacing w:after="57"/>
    </w:pPr>
  </w:style>
  <w:style w:type="paragraph" w:styleId="756">
    <w:name w:val="toc 6 04cb5963869e53879f0a4760d6eed8b9"/>
    <w:basedOn w:val="760"/>
    <w:uiPriority w:val="39"/>
    <w:unhideWhenUsed/>
    <w:pPr>
      <w:ind w:left="1417" w:right="0" w:firstLine="0"/>
      <w:spacing w:after="57"/>
    </w:pPr>
  </w:style>
  <w:style w:type="paragraph" w:styleId="757">
    <w:name w:val="toc 7 04cb5963869e53879f0a4760d6eed8b9"/>
    <w:basedOn w:val="760"/>
    <w:uiPriority w:val="39"/>
    <w:unhideWhenUsed/>
    <w:pPr>
      <w:ind w:left="1701" w:right="0" w:firstLine="0"/>
      <w:spacing w:after="57"/>
    </w:pPr>
  </w:style>
  <w:style w:type="paragraph" w:styleId="758">
    <w:name w:val="toc 8 04cb5963869e53879f0a4760d6eed8b9"/>
    <w:basedOn w:val="760"/>
    <w:uiPriority w:val="39"/>
    <w:unhideWhenUsed/>
    <w:pPr>
      <w:ind w:left="1984" w:right="0" w:firstLine="0"/>
      <w:spacing w:after="57"/>
    </w:pPr>
  </w:style>
  <w:style w:type="paragraph" w:styleId="759">
    <w:name w:val="toc 9 04cb5963869e53879f0a4760d6eed8b9"/>
    <w:basedOn w:val="760"/>
    <w:uiPriority w:val="39"/>
    <w:unhideWhenUsed/>
    <w:pPr>
      <w:ind w:left="2268" w:right="0" w:firstLine="0"/>
      <w:spacing w:after="57"/>
    </w:pPr>
  </w:style>
  <w:style w:type="paragraph" w:styleId="760" w:default="1">
    <w:name w:val="Normal 04cb5963869e53879f0a4760d6eed8b9"/>
    <w:qFormat/>
    <w:pPr>
      <w:widowControl w:val="off"/>
    </w:pPr>
    <w:rPr>
      <w:rFonts w:ascii="Liberation Serif" w:hAnsi="Liberation Serif" w:cs="Mangal" w:eastAsia="SimSun"/>
      <w:color w:val="auto"/>
      <w:sz w:val="24"/>
      <w:szCs w:val="24"/>
      <w:lang w:val="it-IT" w:bidi="hi-IN" w:eastAsia="zh-CN"/>
    </w:rPr>
  </w:style>
  <w:style w:type="character" w:styleId="761" w:default="1">
    <w:name w:val="Default Paragraph Font 04cb5963869e53879f0a4760d6eed8b9"/>
    <w:uiPriority w:val="1"/>
    <w:semiHidden/>
    <w:unhideWhenUsed/>
  </w:style>
  <w:style w:type="numbering" w:styleId="762" w:default="1">
    <w:name w:val="No List 04cb5963869e53879f0a4760d6eed8b9"/>
    <w:uiPriority w:val="99"/>
    <w:semiHidden/>
    <w:unhideWhenUsed/>
  </w:style>
  <w:style w:type="table" w:styleId="763" w:default="1">
    <w:name w:val="Normal Table 04cb5963869e53879f0a4760d6eed8b9"/>
    <w:uiPriority w:val="99"/>
    <w:semiHidden/>
    <w:unhideWhenUsed/>
    <w:tblPr/>
  </w:style>
  <w:style w:type="character" w:styleId="764">
    <w:name w:val="Hyperlink ecd786cc6cb66a43bbc0b72598e6638a"/>
    <w:uiPriority w:val="99"/>
    <w:unhideWhenUsed/>
    <w:rPr>
      <w:color w:val="0000FF" w:themeColor="hyperlink"/>
      <w:u w:val="single"/>
    </w:rPr>
  </w:style>
  <w:style w:type="paragraph" w:styleId="765">
    <w:name w:val="toc 1 ecd786cc6cb66a43bbc0b72598e6638a"/>
    <w:basedOn w:val="774"/>
    <w:uiPriority w:val="39"/>
    <w:unhideWhenUsed/>
    <w:pPr>
      <w:ind w:left="0" w:right="0" w:firstLine="0"/>
      <w:spacing w:after="57"/>
    </w:pPr>
  </w:style>
  <w:style w:type="paragraph" w:styleId="766">
    <w:name w:val="toc 2 ecd786cc6cb66a43bbc0b72598e6638a"/>
    <w:basedOn w:val="774"/>
    <w:uiPriority w:val="39"/>
    <w:unhideWhenUsed/>
    <w:pPr>
      <w:ind w:left="283" w:right="0" w:firstLine="0"/>
      <w:spacing w:after="57"/>
    </w:pPr>
  </w:style>
  <w:style w:type="paragraph" w:styleId="767">
    <w:name w:val="toc 3 ecd786cc6cb66a43bbc0b72598e6638a"/>
    <w:basedOn w:val="774"/>
    <w:uiPriority w:val="39"/>
    <w:unhideWhenUsed/>
    <w:pPr>
      <w:ind w:left="567" w:right="0" w:firstLine="0"/>
      <w:spacing w:after="57"/>
    </w:pPr>
  </w:style>
  <w:style w:type="paragraph" w:styleId="768">
    <w:name w:val="toc 4 ecd786cc6cb66a43bbc0b72598e6638a"/>
    <w:basedOn w:val="774"/>
    <w:uiPriority w:val="39"/>
    <w:unhideWhenUsed/>
    <w:pPr>
      <w:ind w:left="850" w:right="0" w:firstLine="0"/>
      <w:spacing w:after="57"/>
    </w:pPr>
  </w:style>
  <w:style w:type="paragraph" w:styleId="769">
    <w:name w:val="toc 5 ecd786cc6cb66a43bbc0b72598e6638a"/>
    <w:basedOn w:val="774"/>
    <w:uiPriority w:val="39"/>
    <w:unhideWhenUsed/>
    <w:pPr>
      <w:ind w:left="1134" w:right="0" w:firstLine="0"/>
      <w:spacing w:after="57"/>
    </w:pPr>
  </w:style>
  <w:style w:type="paragraph" w:styleId="770">
    <w:name w:val="toc 6 ecd786cc6cb66a43bbc0b72598e6638a"/>
    <w:basedOn w:val="774"/>
    <w:uiPriority w:val="39"/>
    <w:unhideWhenUsed/>
    <w:pPr>
      <w:ind w:left="1417" w:right="0" w:firstLine="0"/>
      <w:spacing w:after="57"/>
    </w:pPr>
  </w:style>
  <w:style w:type="paragraph" w:styleId="771">
    <w:name w:val="toc 7 ecd786cc6cb66a43bbc0b72598e6638a"/>
    <w:basedOn w:val="774"/>
    <w:uiPriority w:val="39"/>
    <w:unhideWhenUsed/>
    <w:pPr>
      <w:ind w:left="1701" w:right="0" w:firstLine="0"/>
      <w:spacing w:after="57"/>
    </w:pPr>
  </w:style>
  <w:style w:type="paragraph" w:styleId="772">
    <w:name w:val="toc 8 ecd786cc6cb66a43bbc0b72598e6638a"/>
    <w:basedOn w:val="774"/>
    <w:uiPriority w:val="39"/>
    <w:unhideWhenUsed/>
    <w:pPr>
      <w:ind w:left="1984" w:right="0" w:firstLine="0"/>
      <w:spacing w:after="57"/>
    </w:pPr>
  </w:style>
  <w:style w:type="paragraph" w:styleId="773">
    <w:name w:val="toc 9 ecd786cc6cb66a43bbc0b72598e6638a"/>
    <w:basedOn w:val="774"/>
    <w:uiPriority w:val="39"/>
    <w:unhideWhenUsed/>
    <w:pPr>
      <w:ind w:left="2268" w:right="0" w:firstLine="0"/>
      <w:spacing w:after="57"/>
    </w:pPr>
  </w:style>
  <w:style w:type="paragraph" w:styleId="774">
    <w:name w:val="Normal ecd786cc6cb66a43bbc0b72598e6638a"/>
    <w:pPr>
      <w:widowControl w:val="off"/>
    </w:pPr>
    <w:rPr>
      <w:rFonts w:ascii="Liberation Serif" w:hAnsi="Liberation Serif" w:cs="Mangal" w:eastAsia="SimSun"/>
      <w:color w:val="auto"/>
      <w:sz w:val="24"/>
      <w:szCs w:val="24"/>
      <w:lang w:val="it-IT" w:bidi="hi-IN" w:eastAsia="zh-CN"/>
    </w:rPr>
  </w:style>
  <w:style w:type="character" w:styleId="775">
    <w:name w:val="Default Paragraph Font ecd786cc6cb66a43bbc0b72598e6638a"/>
    <w:uiPriority w:val="1"/>
    <w:semiHidden/>
    <w:unhideWhenUsed/>
  </w:style>
  <w:style w:type="numbering" w:styleId="776">
    <w:name w:val="No List ecd786cc6cb66a43bbc0b72598e6638a"/>
    <w:uiPriority w:val="99"/>
    <w:semiHidden/>
    <w:unhideWhenUsed/>
  </w:style>
  <w:style w:type="table" w:styleId="777">
    <w:name w:val="Normal Table ecd786cc6cb66a43bbc0b72598e6638a"/>
    <w:uiPriority w:val="99"/>
    <w:semiHidden/>
    <w:unhideWhenUsed/>
    <w:tblPr/>
  </w:style>
  <w:style w:type="character" w:styleId="778">
    <w:name w:val="Hyperlink e76ee4424c22a9a5a8c7f8459309232c"/>
    <w:uiPriority w:val="99"/>
    <w:unhideWhenUsed/>
    <w:rPr>
      <w:color w:val="0000FF" w:themeColor="hyperlink"/>
      <w:u w:val="single"/>
    </w:rPr>
  </w:style>
  <w:style w:type="paragraph" w:styleId="779">
    <w:name w:val="toc 1 e76ee4424c22a9a5a8c7f8459309232c"/>
    <w:basedOn w:val="788"/>
    <w:uiPriority w:val="39"/>
    <w:unhideWhenUsed/>
    <w:pPr>
      <w:ind w:left="0" w:right="0" w:firstLine="0"/>
      <w:spacing w:after="57"/>
    </w:pPr>
  </w:style>
  <w:style w:type="paragraph" w:styleId="780">
    <w:name w:val="toc 2 e76ee4424c22a9a5a8c7f8459309232c"/>
    <w:basedOn w:val="788"/>
    <w:uiPriority w:val="39"/>
    <w:unhideWhenUsed/>
    <w:pPr>
      <w:ind w:left="283" w:right="0" w:firstLine="0"/>
      <w:spacing w:after="57"/>
    </w:pPr>
  </w:style>
  <w:style w:type="paragraph" w:styleId="781">
    <w:name w:val="toc 3 e76ee4424c22a9a5a8c7f8459309232c"/>
    <w:basedOn w:val="788"/>
    <w:uiPriority w:val="39"/>
    <w:unhideWhenUsed/>
    <w:pPr>
      <w:ind w:left="567" w:right="0" w:firstLine="0"/>
      <w:spacing w:after="57"/>
    </w:pPr>
  </w:style>
  <w:style w:type="paragraph" w:styleId="782">
    <w:name w:val="toc 4 e76ee4424c22a9a5a8c7f8459309232c"/>
    <w:basedOn w:val="788"/>
    <w:uiPriority w:val="39"/>
    <w:unhideWhenUsed/>
    <w:pPr>
      <w:ind w:left="850" w:right="0" w:firstLine="0"/>
      <w:spacing w:after="57"/>
    </w:pPr>
  </w:style>
  <w:style w:type="paragraph" w:styleId="783">
    <w:name w:val="toc 5 e76ee4424c22a9a5a8c7f8459309232c"/>
    <w:basedOn w:val="788"/>
    <w:uiPriority w:val="39"/>
    <w:unhideWhenUsed/>
    <w:pPr>
      <w:ind w:left="1134" w:right="0" w:firstLine="0"/>
      <w:spacing w:after="57"/>
    </w:pPr>
  </w:style>
  <w:style w:type="paragraph" w:styleId="784">
    <w:name w:val="toc 6 e76ee4424c22a9a5a8c7f8459309232c"/>
    <w:basedOn w:val="788"/>
    <w:uiPriority w:val="39"/>
    <w:unhideWhenUsed/>
    <w:pPr>
      <w:ind w:left="1417" w:right="0" w:firstLine="0"/>
      <w:spacing w:after="57"/>
    </w:pPr>
  </w:style>
  <w:style w:type="paragraph" w:styleId="785">
    <w:name w:val="toc 7 e76ee4424c22a9a5a8c7f8459309232c"/>
    <w:basedOn w:val="788"/>
    <w:uiPriority w:val="39"/>
    <w:unhideWhenUsed/>
    <w:pPr>
      <w:ind w:left="1701" w:right="0" w:firstLine="0"/>
      <w:spacing w:after="57"/>
    </w:pPr>
  </w:style>
  <w:style w:type="paragraph" w:styleId="786">
    <w:name w:val="toc 8 e76ee4424c22a9a5a8c7f8459309232c"/>
    <w:basedOn w:val="788"/>
    <w:uiPriority w:val="39"/>
    <w:unhideWhenUsed/>
    <w:pPr>
      <w:ind w:left="1984" w:right="0" w:firstLine="0"/>
      <w:spacing w:after="57"/>
    </w:pPr>
  </w:style>
  <w:style w:type="paragraph" w:styleId="787">
    <w:name w:val="toc 9 e76ee4424c22a9a5a8c7f8459309232c"/>
    <w:basedOn w:val="788"/>
    <w:uiPriority w:val="39"/>
    <w:unhideWhenUsed/>
    <w:pPr>
      <w:ind w:left="2268" w:right="0" w:firstLine="0"/>
      <w:spacing w:after="57"/>
    </w:pPr>
  </w:style>
  <w:style w:type="paragraph" w:styleId="788">
    <w:name w:val="Normal e76ee4424c22a9a5a8c7f8459309232c"/>
    <w:pPr>
      <w:widowControl w:val="off"/>
    </w:pPr>
    <w:rPr>
      <w:rFonts w:ascii="Liberation Serif" w:hAnsi="Liberation Serif" w:cs="Mangal" w:eastAsia="SimSun"/>
      <w:color w:val="auto"/>
      <w:sz w:val="24"/>
      <w:szCs w:val="24"/>
      <w:lang w:val="it-IT" w:bidi="hi-IN" w:eastAsia="zh-CN"/>
    </w:rPr>
  </w:style>
  <w:style w:type="character" w:styleId="789">
    <w:name w:val="Default Paragraph Font e76ee4424c22a9a5a8c7f8459309232c"/>
    <w:uiPriority w:val="1"/>
    <w:semiHidden/>
    <w:unhideWhenUsed/>
  </w:style>
  <w:style w:type="numbering" w:styleId="790">
    <w:name w:val="No List e76ee4424c22a9a5a8c7f8459309232c"/>
    <w:uiPriority w:val="99"/>
    <w:semiHidden/>
    <w:unhideWhenUsed/>
  </w:style>
  <w:style w:type="table" w:styleId="791">
    <w:name w:val="Normal Table e76ee4424c22a9a5a8c7f8459309232c"/>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hyperlink" Target="https://www.normattiva.it/"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ONLYOFFICE/7.1.1.23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it-IT</dc:language>
  <cp:lastModifiedBy>s.burghiani</cp:lastModifiedBy>
  <cp:revision>15</cp:revision>
  <dcterms:created xsi:type="dcterms:W3CDTF">2016-01-21T15:36:37Z</dcterms:created>
  <dcterms:modified xsi:type="dcterms:W3CDTF">2026-07-24T09:48:46Z</dcterms:modified>
</cp:coreProperties>
</file>