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424 del </w:t>
      </w:r>
      <w:r>
        <w:rPr>
          <w:rFonts w:ascii="Arial" w:hAnsi="Arial" w:cs="Arial" w:eastAsia="Arial"/>
          <w:b/>
          <w:sz w:val="24"/>
          <w:lang w:eastAsia="it-IT"/>
        </w:rPr>
        <w:t xml:space="preserve">17/04/2026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RICONOSCIMENTO LEGITTIMITA' DEBITO FUORI BILANCIO DA SENTENZA ESECUTIVA (ART. 194 - CO. 1 LETT. A) DEL T.A.R. MARCHE N. 287/2026. - RIFUSIONE CONTRIBUTO UNIFICATO - 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2"/>
      </w:pPr>
      <w:r/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48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PREMESSO: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firstLine="709"/>
        <w:jc w:val="both"/>
        <w:rPr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  <w:highlight w:val="none"/>
          <w:lang w:bidi="ar-SA" w:eastAsia="it-IT"/>
        </w:rPr>
        <w:t xml:space="preserve">- che in data 29/04/2025, acquisiti rispettivamente ai prot. nn. 14947 e 14949, sono stati notificati a questo Ente </w:t>
      </w: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i ricorsi proposti, rispettivamente, dalla società </w:t>
      </w:r>
      <w:r>
        <w:rPr>
          <w:rFonts w:ascii="Times New Roman" w:hAnsi="Times New Roman" w:cs="Times New Roman" w:eastAsia="Times New Roman"/>
          <w:highlight w:val="none"/>
          <w:lang w:bidi="ar-SA" w:eastAsia="it-IT"/>
        </w:rPr>
        <w:t xml:space="preserve">“Carbonafta &amp; Carbometalli S.r.l.”</w:t>
      </w: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 e dalla società </w:t>
      </w:r>
      <w:r>
        <w:rPr>
          <w:rFonts w:ascii="Times New Roman" w:hAnsi="Times New Roman" w:cs="Times New Roman" w:eastAsia="Times New Roman"/>
          <w:highlight w:val="none"/>
          <w:lang w:bidi="ar-SA" w:eastAsia="it-IT"/>
        </w:rPr>
        <w:t xml:space="preserve">“Carbonafta &amp; Carbometalli Servizi Immobiliari S.r.l.”</w:t>
      </w: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 con i quali </w:t>
      </w: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sono stati impugnati avanti il T.A.R. delle Marche </w:t>
      </w:r>
      <w:r>
        <w:t xml:space="preserve">la delibera </w:t>
      </w:r>
      <w:r>
        <w:rPr>
          <w:rFonts w:ascii="Times New Roman" w:hAnsi="Times New Roman" w:cs="Times New Roman" w:eastAsia="Times New Roman"/>
        </w:rPr>
        <w:t xml:space="preserve">del Commissario Straordinario del Comune di Osimo con i poteri del Consiglio Comunale n. 8 del 07/04/2025 avente ad oggetto: </w:t>
      </w:r>
      <w:r>
        <w:rPr>
          <w:rFonts w:ascii="Times New Roman" w:hAnsi="Times New Roman" w:cs="Times New Roman" w:eastAsia="Times New Roman"/>
          <w:i/>
        </w:rPr>
        <w:t xml:space="preserve">“Presa d’atto degli elaborati del Piano Urbanistico Comunale approvato con D</w:t>
      </w:r>
      <w:r>
        <w:rPr>
          <w:rFonts w:ascii="Times New Roman" w:hAnsi="Times New Roman" w:cs="Times New Roman" w:eastAsia="Times New Roman"/>
          <w:i/>
        </w:rPr>
        <w:t xml:space="preserve">.C.C. n. 9 del 28/03/2024, adeguati al parere n. 1/2024 prot. 8692/2024 della Provincia di Ancona, alle varianti puntuali al vigente PUC e al mero errore materiale di sovrapposizione delle aree esenti e negli ambiti di tutela del PPAR (aree archeologiche)”</w:t>
      </w:r>
      <w:r>
        <w:rPr>
          <w:i w:val="0"/>
        </w:rPr>
        <w:t xml:space="preserve"> </w:t>
      </w:r>
      <w:r>
        <w:rPr>
          <w:rFonts w:ascii="Times New Roman" w:hAnsi="Times New Roman" w:cs="Times New Roman" w:eastAsia="Times New Roman"/>
          <w:i w:val="0"/>
        </w:rPr>
        <w:t xml:space="preserve">e tutti i relativi allegati, nonché ogni altro atto o provvedimento presupposto, consequenziale o comunque connesso;</w:t>
      </w:r>
      <w:r>
        <w:rPr>
          <w:i w:val="0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highlight w:val="none"/>
          <w:lang w:bidi="ar-SA" w:eastAsia="it-IT"/>
        </w:rPr>
      </w:pPr>
      <w:r>
        <w:rPr>
          <w:highlight w:val="none"/>
        </w:rPr>
      </w:r>
      <w:r>
        <w:rPr>
          <w:rFonts w:ascii="Times New Roman" w:hAnsi="Times New Roman" w:cs="Times New Roman" w:eastAsia="Times New Roman"/>
          <w:highlight w:val="none"/>
          <w:lang w:bidi="ar-SA" w:eastAsia="it-IT"/>
        </w:rPr>
      </w:r>
      <w:r/>
    </w:p>
    <w:p>
      <w:pPr>
        <w:ind w:left="0" w:firstLine="709"/>
        <w:jc w:val="both"/>
        <w:rPr>
          <w:rFonts w:ascii="Times New Roman" w:hAnsi="Times New Roman" w:cs="Times New Roman" w:eastAsia="Times New Roman"/>
          <w:highlight w:val="none"/>
          <w:lang w:bidi="ar-SA" w:eastAsia="it-IT"/>
        </w:rPr>
      </w:pP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- che l</w:t>
      </w:r>
      <w:r>
        <w:rPr>
          <w:rFonts w:ascii="Times New Roman" w:hAnsi="Times New Roman" w:cs="Times New Roman" w:eastAsia="Times New Roman"/>
          <w:strike w:val="false"/>
          <w:highlight w:val="none"/>
          <w:lang w:bidi="ar-SA" w:eastAsia="it-IT"/>
        </w:rPr>
        <w:t xml:space="preserve">e società ricorrenti hanno provveduto, nei termini di rito, a depositare al T.A.R. delle Marche i ricorsi in parola, che hanno assunto, rispettivamente, il n. 281/2025 ed il n. 282/2025 Reg. Ric.; </w:t>
      </w:r>
      <w:r>
        <w:rPr>
          <w:rFonts w:ascii="Times New Roman" w:hAnsi="Times New Roman" w:cs="Times New Roman" w:eastAsia="Times New Roman"/>
          <w:highlight w:val="none"/>
          <w:lang w:bidi="ar-SA" w:eastAsia="it-IT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- che il Comune di Osimo si è costituito in giudizio in entrambi i procedimenti a mezzo dell’Avv. Andrea Galvani del Foro di Ancona, giusta delibera di incarico G.C. n. 2 del 12/01/2026;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- che, previa loro riunione per ragioni di connessione oggettiva e soggettiva anche con i precedenti ricorsi n. 320/2024 e 321/2024, il T.A.R. Marche ha definito i giudizi con sentenza n. 287/2026, esecutiva ai sensi di legge, che ha così statuito: 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“- dichiara improcedibili i ricorsi nn. 320 e 321 del 2024;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 - in accoglimento dell’istanza subordinata di cui al punto b) delle conclusioni rassegnate nei ricorsi nn. 281 e 282 del 2025, accerta, allo stato, l’inesistenza del vincolo archeologico ... (omissis) ...;</w:t>
      </w: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- respinge l’istanza di risarcimento del danno.</w:t>
      </w: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Spese compensate salva la ripetizione dei contributi come in motivazione.”</w:t>
      </w: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i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 w:val="0"/>
          <w:color w:val="000000"/>
          <w:sz w:val="24"/>
          <w:highlight w:val="none"/>
        </w:rPr>
        <w:t xml:space="preserve">- che sul punto relativo alle spese di giudizio la predetta sentenza così si è espressa nelle motivazioni:</w:t>
      </w:r>
      <w:r>
        <w:rPr>
          <w:i w:val="0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“Le spese di giudizio possono complessivamente essere compensate considerati l’e</w:t>
      </w: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pilogo dei gravami e la complessità, anche tecnica, della vicenda. Il contributo unificato deve tuttavia essere posto a carico del Comune di Osimo, sia in relazione ai ricorsi nn. 320 e 321 del 2024 (che avevano dedotto questioni poi recepite, sebbene in p</w:t>
      </w:r>
      <w:r>
        <w:rPr>
          <w:rFonts w:ascii="Times New Roman" w:hAnsi="Times New Roman" w:cs="Times New Roman" w:eastAsia="Times New Roman"/>
          <w:i/>
          <w:color w:val="000000"/>
          <w:sz w:val="24"/>
          <w:highlight w:val="none"/>
        </w:rPr>
        <w:t xml:space="preserve">arte, dal provvedimento n. 8 del 07/04/2025), che ai successivi ricorsi nn. 281 e 282 del 2025 perchè, stante comunque la permanenza di alcuni profili di incertezza, viene accolta l’istanza subordinata di accertamento di cui al punto b) delle conclusioni.”</w:t>
      </w:r>
      <w:r>
        <w:rPr>
          <w:rFonts w:ascii="Times New Roman" w:hAnsi="Times New Roman" w:cs="Times New Roman" w:eastAsia="Times New Roman"/>
          <w:i w:val="0"/>
          <w:color w:val="000000"/>
          <w:sz w:val="24"/>
          <w:highlight w:val="none"/>
        </w:rPr>
        <w:t xml:space="preserve">;</w:t>
      </w:r>
      <w:r>
        <w:rPr>
          <w:i w:val="0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- che, c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on nota in data 07/03/2026, il predetto Avv. Andrea Galvani ha trasmesso la richiesta pervenutagli dall’Avv. Massimo Pesaresi, legale delle ricorrenti, di rifusione delle somme versate a titolo di contributo unificato, per un ammontare complessivo pari ad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€.2.600,00=;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ATTESO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che, relativamente a tale somma, si rende quindi ora necessario ricorrere alla procedura consiliare del riconoscimento di debito fuori bilancio, di cui all’art. 194 – comma 1 – lett. a) – del D.Lgs. 18/08/2000 n. 267, al fine di consentire l’effettuazione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del pagamento nel rispetto del termine a ciò previsto dall’art. 14 – comma 1 – del D.L. n. 669/1996, convertito in L. n. 30/1997, evitando così ulteriori oneri che potrebbero derivare all’Ente da un’eventuale azione esecutiva; </w:t>
      </w:r>
      <w:r/>
    </w:p>
    <w:p>
      <w:pPr>
        <w:ind w:left="0" w:right="0" w:firstLine="0"/>
        <w:jc w:val="both"/>
        <w:spacing w:before="0" w:after="0"/>
        <w:tabs>
          <w:tab w:val="left" w:pos="284" w:leader="none"/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ab/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ab/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 che la copertura finanziaria del debito viene garantita dal Bilancio di previsione 2026/2028 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– Esercizio 2026 -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alla Missione 1 - Programma 11 - Piano Finanziario 1.3.2.11.6 – Cap. 138 -;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 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VISTO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il parere del Collegio dei Revisori dei Conti espresso in data ……………, con il quale è stato espresso parere favorevole sulla proposta di deliberazione relativa al riconoscimento del debito fuori bilancio di cui sopra; 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ACQUISITI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 seguenti pareri, ai sensi dell’art. 49 del D.Lgs. n. 267/2000: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tecnica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Segretario generale - Dirigente del Dipartimento Affari Generali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Dott.ssa Mariarosaria Giorgio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contabile 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Dirigente Dipartimento Finanze – D.ssa Anna Tiberi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la seguente votazione: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    ____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      ____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  ____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     ____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/>
    </w:p>
    <w:p>
      <w:pPr>
        <w:ind w:left="0" w:right="0" w:firstLine="0"/>
        <w:jc w:val="center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 E L I B E R A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1) di dare atto che le premesse formano parte integrante e sostanziale della presente deliberazione e, pertanto, si intendono qui materialmente trascritte ed approvate;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2) di riconoscere, ai sensi e per gli effetti dell’art. 194 – comma 1 – lett. a) del D.Lgs. 18/08/2000 n. 267, la legittimità del debito fuori bilancio derivante dalla sentenza esecutiva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T.A.R. delle Marche n. 287/2026, e così per la complessiva somma di €.2.600,00= nei confronti, in egual misura, delle società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“Carbonafta &amp; Carbometalli S.r.l.”</w:t>
      </w:r>
      <w:r>
        <w:rPr>
          <w:rFonts w:ascii="Times New Roman" w:hAnsi="Times New Roman" w:cs="Times New Roman" w:eastAsia="Times New Roman"/>
          <w:strike w:val="false"/>
          <w:color w:val="000000"/>
          <w:sz w:val="24"/>
        </w:rPr>
        <w:t xml:space="preserve"> e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“Carbonafta &amp; Carbometalli Servizi Immobiliari S.r.l.”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;  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3) di dare atto che la relativa spesa trova copertura nel Bilancio di previsione 2026/2028 – Esercizio 2026 -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alla Missione 1 - Programma 11 - Piano Finanziario 1.3.2.11.6 – Cap. 138 -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4) di trasmettere il presente provvedimento alla Sezione Giurisdizionale per le Marche della Corte dei Conti, ai sensi dell’art. 23 – comma 5 – della L. 27/12/2002, n. 289;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5) di dare atto che le attività per dare esecuzione al presente deliberato verranno poste in essere dal Dirigente competente;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6) di disporre che, in sede di pubblicazione della presente delibera, siano omessi i dati identificativi delle controparti, ai sensi e per gli effetti di quanto disposto dalla vigente normativa in materia di tutela della privacy.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*****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Presidente del Consiglio Comunale pone quindi a votazione la proposta di rendere il presente atto immediatamente eseguibile.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Pertanto,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IL CONSIGLIO COMUNALE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Udita la proposta,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la seguente votazione: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     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      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  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    __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ind w:left="0" w:right="0" w:firstLine="0"/>
        <w:jc w:val="center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rendere la presente deliberazione immediatamente eseguibile, ai sensi dell’art. 134, 4° comma, del D.Lgs. 18 agosto 2000 n. 267 e successive modifiche ed integrazioni.</w:t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left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424 del 17/04/2026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5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6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33">
    <w:name w:val="Header 4f6a92bdd920ed67ff492e2299a89439"/>
    <w:basedOn w:val="748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 4f6a92bdd920ed67ff492e2299a89439"/>
    <w:link w:val="733"/>
    <w:uiPriority w:val="99"/>
  </w:style>
  <w:style w:type="paragraph" w:styleId="735">
    <w:name w:val="Footer 4f6a92bdd920ed67ff492e2299a89439"/>
    <w:basedOn w:val="748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 4f6a92bdd920ed67ff492e2299a89439"/>
    <w:link w:val="735"/>
    <w:uiPriority w:val="99"/>
  </w:style>
  <w:style w:type="character" w:styleId="737">
    <w:name w:val="Caption Char 4f6a92bdd920ed67ff492e2299a89439"/>
    <w:link w:val="735"/>
    <w:uiPriority w:val="99"/>
  </w:style>
  <w:style w:type="character" w:styleId="738">
    <w:name w:val="Hyperlink 4f6a92bdd920ed67ff492e2299a89439"/>
    <w:uiPriority w:val="99"/>
    <w:unhideWhenUsed/>
    <w:rPr>
      <w:color w:val="0000FF" w:themeColor="hyperlink"/>
      <w:u w:val="single"/>
    </w:rPr>
  </w:style>
  <w:style w:type="paragraph" w:styleId="739">
    <w:name w:val="toc 1 4f6a92bdd920ed67ff492e2299a89439"/>
    <w:basedOn w:val="748"/>
    <w:uiPriority w:val="39"/>
    <w:unhideWhenUsed/>
    <w:pPr>
      <w:ind w:left="0" w:right="0" w:firstLine="0"/>
      <w:spacing w:after="57"/>
    </w:pPr>
  </w:style>
  <w:style w:type="paragraph" w:styleId="740">
    <w:name w:val="toc 2 4f6a92bdd920ed67ff492e2299a89439"/>
    <w:basedOn w:val="748"/>
    <w:uiPriority w:val="39"/>
    <w:unhideWhenUsed/>
    <w:pPr>
      <w:ind w:left="283" w:right="0" w:firstLine="0"/>
      <w:spacing w:after="57"/>
    </w:pPr>
  </w:style>
  <w:style w:type="paragraph" w:styleId="741">
    <w:name w:val="toc 3 4f6a92bdd920ed67ff492e2299a89439"/>
    <w:basedOn w:val="748"/>
    <w:uiPriority w:val="39"/>
    <w:unhideWhenUsed/>
    <w:pPr>
      <w:ind w:left="567" w:right="0" w:firstLine="0"/>
      <w:spacing w:after="57"/>
    </w:pPr>
  </w:style>
  <w:style w:type="paragraph" w:styleId="742">
    <w:name w:val="toc 4 4f6a92bdd920ed67ff492e2299a89439"/>
    <w:basedOn w:val="748"/>
    <w:uiPriority w:val="39"/>
    <w:unhideWhenUsed/>
    <w:pPr>
      <w:ind w:left="850" w:right="0" w:firstLine="0"/>
      <w:spacing w:after="57"/>
    </w:pPr>
  </w:style>
  <w:style w:type="paragraph" w:styleId="743">
    <w:name w:val="toc 5 4f6a92bdd920ed67ff492e2299a89439"/>
    <w:basedOn w:val="748"/>
    <w:uiPriority w:val="39"/>
    <w:unhideWhenUsed/>
    <w:pPr>
      <w:ind w:left="1134" w:right="0" w:firstLine="0"/>
      <w:spacing w:after="57"/>
    </w:pPr>
  </w:style>
  <w:style w:type="paragraph" w:styleId="744">
    <w:name w:val="toc 6 4f6a92bdd920ed67ff492e2299a89439"/>
    <w:basedOn w:val="748"/>
    <w:uiPriority w:val="39"/>
    <w:unhideWhenUsed/>
    <w:pPr>
      <w:ind w:left="1417" w:right="0" w:firstLine="0"/>
      <w:spacing w:after="57"/>
    </w:pPr>
  </w:style>
  <w:style w:type="paragraph" w:styleId="745">
    <w:name w:val="toc 7 4f6a92bdd920ed67ff492e2299a89439"/>
    <w:basedOn w:val="748"/>
    <w:uiPriority w:val="39"/>
    <w:unhideWhenUsed/>
    <w:pPr>
      <w:ind w:left="1701" w:right="0" w:firstLine="0"/>
      <w:spacing w:after="57"/>
    </w:pPr>
  </w:style>
  <w:style w:type="paragraph" w:styleId="746">
    <w:name w:val="toc 8 4f6a92bdd920ed67ff492e2299a89439"/>
    <w:basedOn w:val="748"/>
    <w:uiPriority w:val="39"/>
    <w:unhideWhenUsed/>
    <w:pPr>
      <w:ind w:left="1984" w:right="0" w:firstLine="0"/>
      <w:spacing w:after="57"/>
    </w:pPr>
  </w:style>
  <w:style w:type="paragraph" w:styleId="747">
    <w:name w:val="toc 9 4f6a92bdd920ed67ff492e2299a89439"/>
    <w:basedOn w:val="748"/>
    <w:uiPriority w:val="39"/>
    <w:unhideWhenUsed/>
    <w:pPr>
      <w:ind w:left="2268" w:right="0" w:firstLine="0"/>
      <w:spacing w:after="57"/>
    </w:pPr>
  </w:style>
  <w:style w:type="paragraph" w:styleId="748" w:default="1">
    <w:name w:val="Normal 4f6a92bdd920ed67ff492e2299a89439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49" w:default="1">
    <w:name w:val="Default Paragraph Font 4f6a92bdd920ed67ff492e2299a89439"/>
    <w:uiPriority w:val="1"/>
    <w:semiHidden/>
    <w:unhideWhenUsed/>
  </w:style>
  <w:style w:type="numbering" w:styleId="750" w:default="1">
    <w:name w:val="No List 4f6a92bdd920ed67ff492e2299a89439"/>
    <w:uiPriority w:val="99"/>
    <w:semiHidden/>
    <w:unhideWhenUsed/>
  </w:style>
  <w:style w:type="table" w:styleId="751" w:default="1">
    <w:name w:val="Normal Table 4f6a92bdd920ed67ff492e2299a89439"/>
    <w:uiPriority w:val="99"/>
    <w:semiHidden/>
    <w:unhideWhenUsed/>
    <w:tblPr/>
  </w:style>
  <w:style w:type="character" w:styleId="752">
    <w:name w:val="Hyperlink 60897386c23c69f2b64c9d5fc499bd7f"/>
    <w:uiPriority w:val="99"/>
    <w:unhideWhenUsed/>
    <w:rPr>
      <w:color w:val="0000FF" w:themeColor="hyperlink"/>
      <w:u w:val="single"/>
    </w:rPr>
  </w:style>
  <w:style w:type="paragraph" w:styleId="753">
    <w:name w:val="toc 1 60897386c23c69f2b64c9d5fc499bd7f"/>
    <w:basedOn w:val="762"/>
    <w:uiPriority w:val="39"/>
    <w:unhideWhenUsed/>
    <w:pPr>
      <w:ind w:left="0" w:right="0" w:firstLine="0"/>
      <w:spacing w:after="57"/>
    </w:pPr>
  </w:style>
  <w:style w:type="paragraph" w:styleId="754">
    <w:name w:val="toc 2 60897386c23c69f2b64c9d5fc499bd7f"/>
    <w:basedOn w:val="762"/>
    <w:uiPriority w:val="39"/>
    <w:unhideWhenUsed/>
    <w:pPr>
      <w:ind w:left="283" w:right="0" w:firstLine="0"/>
      <w:spacing w:after="57"/>
    </w:pPr>
  </w:style>
  <w:style w:type="paragraph" w:styleId="755">
    <w:name w:val="toc 3 60897386c23c69f2b64c9d5fc499bd7f"/>
    <w:basedOn w:val="762"/>
    <w:uiPriority w:val="39"/>
    <w:unhideWhenUsed/>
    <w:pPr>
      <w:ind w:left="567" w:right="0" w:firstLine="0"/>
      <w:spacing w:after="57"/>
    </w:pPr>
  </w:style>
  <w:style w:type="paragraph" w:styleId="756">
    <w:name w:val="toc 4 60897386c23c69f2b64c9d5fc499bd7f"/>
    <w:basedOn w:val="762"/>
    <w:uiPriority w:val="39"/>
    <w:unhideWhenUsed/>
    <w:pPr>
      <w:ind w:left="850" w:right="0" w:firstLine="0"/>
      <w:spacing w:after="57"/>
    </w:pPr>
  </w:style>
  <w:style w:type="paragraph" w:styleId="757">
    <w:name w:val="toc 5 60897386c23c69f2b64c9d5fc499bd7f"/>
    <w:basedOn w:val="762"/>
    <w:uiPriority w:val="39"/>
    <w:unhideWhenUsed/>
    <w:pPr>
      <w:ind w:left="1134" w:right="0" w:firstLine="0"/>
      <w:spacing w:after="57"/>
    </w:pPr>
  </w:style>
  <w:style w:type="paragraph" w:styleId="758">
    <w:name w:val="toc 6 60897386c23c69f2b64c9d5fc499bd7f"/>
    <w:basedOn w:val="762"/>
    <w:uiPriority w:val="39"/>
    <w:unhideWhenUsed/>
    <w:pPr>
      <w:ind w:left="1417" w:right="0" w:firstLine="0"/>
      <w:spacing w:after="57"/>
    </w:pPr>
  </w:style>
  <w:style w:type="paragraph" w:styleId="759">
    <w:name w:val="toc 7 60897386c23c69f2b64c9d5fc499bd7f"/>
    <w:basedOn w:val="762"/>
    <w:uiPriority w:val="39"/>
    <w:unhideWhenUsed/>
    <w:pPr>
      <w:ind w:left="1701" w:right="0" w:firstLine="0"/>
      <w:spacing w:after="57"/>
    </w:pPr>
  </w:style>
  <w:style w:type="paragraph" w:styleId="760">
    <w:name w:val="toc 8 60897386c23c69f2b64c9d5fc499bd7f"/>
    <w:basedOn w:val="762"/>
    <w:uiPriority w:val="39"/>
    <w:unhideWhenUsed/>
    <w:pPr>
      <w:ind w:left="1984" w:right="0" w:firstLine="0"/>
      <w:spacing w:after="57"/>
    </w:pPr>
  </w:style>
  <w:style w:type="paragraph" w:styleId="761">
    <w:name w:val="toc 9 60897386c23c69f2b64c9d5fc499bd7f"/>
    <w:basedOn w:val="762"/>
    <w:uiPriority w:val="39"/>
    <w:unhideWhenUsed/>
    <w:pPr>
      <w:ind w:left="2268" w:right="0" w:firstLine="0"/>
      <w:spacing w:after="57"/>
    </w:pPr>
  </w:style>
  <w:style w:type="paragraph" w:styleId="762">
    <w:name w:val="Normal 60897386c23c69f2b64c9d5fc499bd7f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3">
    <w:name w:val="Default Paragraph Font 60897386c23c69f2b64c9d5fc499bd7f"/>
    <w:uiPriority w:val="1"/>
    <w:semiHidden/>
    <w:unhideWhenUsed/>
  </w:style>
  <w:style w:type="numbering" w:styleId="764">
    <w:name w:val="No List 60897386c23c69f2b64c9d5fc499bd7f"/>
    <w:uiPriority w:val="99"/>
    <w:semiHidden/>
    <w:unhideWhenUsed/>
  </w:style>
  <w:style w:type="table" w:styleId="765">
    <w:name w:val="Normal Table 60897386c23c69f2b64c9d5fc499bd7f"/>
    <w:uiPriority w:val="99"/>
    <w:semiHidden/>
    <w:unhideWhenUsed/>
    <w:tblPr/>
  </w:style>
  <w:style w:type="character" w:styleId="766">
    <w:name w:val="Hyperlink 966e71c9b60a7f1dc43f1a21b90be560"/>
    <w:uiPriority w:val="99"/>
    <w:unhideWhenUsed/>
    <w:rPr>
      <w:color w:val="0000FF" w:themeColor="hyperlink"/>
      <w:u w:val="single"/>
    </w:rPr>
  </w:style>
  <w:style w:type="paragraph" w:styleId="767">
    <w:name w:val="toc 1 966e71c9b60a7f1dc43f1a21b90be560"/>
    <w:basedOn w:val="776"/>
    <w:uiPriority w:val="39"/>
    <w:unhideWhenUsed/>
    <w:pPr>
      <w:ind w:left="0" w:right="0" w:firstLine="0"/>
      <w:spacing w:after="57"/>
    </w:pPr>
  </w:style>
  <w:style w:type="paragraph" w:styleId="768">
    <w:name w:val="toc 2 966e71c9b60a7f1dc43f1a21b90be560"/>
    <w:basedOn w:val="776"/>
    <w:uiPriority w:val="39"/>
    <w:unhideWhenUsed/>
    <w:pPr>
      <w:ind w:left="283" w:right="0" w:firstLine="0"/>
      <w:spacing w:after="57"/>
    </w:pPr>
  </w:style>
  <w:style w:type="paragraph" w:styleId="769">
    <w:name w:val="toc 3 966e71c9b60a7f1dc43f1a21b90be560"/>
    <w:basedOn w:val="776"/>
    <w:uiPriority w:val="39"/>
    <w:unhideWhenUsed/>
    <w:pPr>
      <w:ind w:left="567" w:right="0" w:firstLine="0"/>
      <w:spacing w:after="57"/>
    </w:pPr>
  </w:style>
  <w:style w:type="paragraph" w:styleId="770">
    <w:name w:val="toc 4 966e71c9b60a7f1dc43f1a21b90be560"/>
    <w:basedOn w:val="776"/>
    <w:uiPriority w:val="39"/>
    <w:unhideWhenUsed/>
    <w:pPr>
      <w:ind w:left="850" w:right="0" w:firstLine="0"/>
      <w:spacing w:after="57"/>
    </w:pPr>
  </w:style>
  <w:style w:type="paragraph" w:styleId="771">
    <w:name w:val="toc 5 966e71c9b60a7f1dc43f1a21b90be560"/>
    <w:basedOn w:val="776"/>
    <w:uiPriority w:val="39"/>
    <w:unhideWhenUsed/>
    <w:pPr>
      <w:ind w:left="1134" w:right="0" w:firstLine="0"/>
      <w:spacing w:after="57"/>
    </w:pPr>
  </w:style>
  <w:style w:type="paragraph" w:styleId="772">
    <w:name w:val="toc 6 966e71c9b60a7f1dc43f1a21b90be560"/>
    <w:basedOn w:val="776"/>
    <w:uiPriority w:val="39"/>
    <w:unhideWhenUsed/>
    <w:pPr>
      <w:ind w:left="1417" w:right="0" w:firstLine="0"/>
      <w:spacing w:after="57"/>
    </w:pPr>
  </w:style>
  <w:style w:type="paragraph" w:styleId="773">
    <w:name w:val="toc 7 966e71c9b60a7f1dc43f1a21b90be560"/>
    <w:basedOn w:val="776"/>
    <w:uiPriority w:val="39"/>
    <w:unhideWhenUsed/>
    <w:pPr>
      <w:ind w:left="1701" w:right="0" w:firstLine="0"/>
      <w:spacing w:after="57"/>
    </w:pPr>
  </w:style>
  <w:style w:type="paragraph" w:styleId="774">
    <w:name w:val="toc 8 966e71c9b60a7f1dc43f1a21b90be560"/>
    <w:basedOn w:val="776"/>
    <w:uiPriority w:val="39"/>
    <w:unhideWhenUsed/>
    <w:pPr>
      <w:ind w:left="1984" w:right="0" w:firstLine="0"/>
      <w:spacing w:after="57"/>
    </w:pPr>
  </w:style>
  <w:style w:type="paragraph" w:styleId="775">
    <w:name w:val="toc 9 966e71c9b60a7f1dc43f1a21b90be560"/>
    <w:basedOn w:val="776"/>
    <w:uiPriority w:val="39"/>
    <w:unhideWhenUsed/>
    <w:pPr>
      <w:ind w:left="2268" w:right="0" w:firstLine="0"/>
      <w:spacing w:after="57"/>
    </w:pPr>
  </w:style>
  <w:style w:type="paragraph" w:styleId="776">
    <w:name w:val="Normal 966e71c9b60a7f1dc43f1a21b90be560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7">
    <w:name w:val="Default Paragraph Font 966e71c9b60a7f1dc43f1a21b90be560"/>
    <w:uiPriority w:val="1"/>
    <w:semiHidden/>
    <w:unhideWhenUsed/>
  </w:style>
  <w:style w:type="numbering" w:styleId="778">
    <w:name w:val="No List 966e71c9b60a7f1dc43f1a21b90be560"/>
    <w:uiPriority w:val="99"/>
    <w:semiHidden/>
    <w:unhideWhenUsed/>
  </w:style>
  <w:style w:type="table" w:styleId="779">
    <w:name w:val="Normal Table 966e71c9b60a7f1dc43f1a21b90be560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17</cp:revision>
  <dcterms:created xsi:type="dcterms:W3CDTF">2016-01-21T15:36:37Z</dcterms:created>
  <dcterms:modified xsi:type="dcterms:W3CDTF">2026-05-13T11:49:20Z</dcterms:modified>
</cp:coreProperties>
</file>