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tabs>
          <w:tab w:val="left" w:pos="708" w:leader="none"/>
          <w:tab w:val="center" w:pos="4819" w:leader="none"/>
          <w:tab w:val="right" w:pos="9638" w:leader="none"/>
        </w:tabs>
        <w:rPr>
          <w:rFonts w:ascii="Tahoma" w:hAnsi="Tahoma" w:cs="Tahoma" w:eastAsia="Times New Roman"/>
          <w:lang w:eastAsia="it-IT"/>
        </w:rPr>
      </w:pPr>
      <w:r>
        <w:rPr>
          <w:rFonts w:ascii="Tahoma" w:hAnsi="Tahoma" w:cs="Tahoma" w:eastAsia="Times New Roman"/>
          <w:b/>
          <w:lang w:eastAsia="it-IT"/>
        </w:rPr>
      </w:r>
      <w:r>
        <w:rPr>
          <w:rFonts w:ascii="Tahoma" w:hAnsi="Tahoma" w:cs="Tahoma" w:eastAsia="Times New Roman"/>
          <w:lang w:eastAsia="it-IT"/>
        </w:rPr>
      </w:r>
      <w:r/>
    </w:p>
    <w:p>
      <w:pPr>
        <w:jc w:val="center"/>
        <w:tabs>
          <w:tab w:val="left" w:pos="708" w:leader="none"/>
          <w:tab w:val="center" w:pos="4819" w:leader="none"/>
          <w:tab w:val="right" w:pos="9638" w:leader="none"/>
        </w:tabs>
        <w:rPr>
          <w:rFonts w:ascii="Arial" w:hAnsi="Arial" w:cs="Arial" w:eastAsia="Arial"/>
        </w:rPr>
      </w:pPr>
      <w:r>
        <w:rPr>
          <w:rFonts w:ascii="Arial" w:hAnsi="Arial" w:cs="Arial" w:eastAsia="Arial"/>
          <w:b/>
          <w:sz w:val="24"/>
          <w:lang w:eastAsia="it-IT"/>
        </w:rPr>
        <w:t xml:space="preserve">PROPOSTA DI DELIBERAZIONE</w:t>
      </w:r>
      <w:r>
        <w:rPr>
          <w:rFonts w:ascii="Arial" w:hAnsi="Arial" w:cs="Arial" w:eastAsia="Arial"/>
          <w:sz w:val="24"/>
        </w:rPr>
      </w:r>
      <w:r/>
    </w:p>
    <w:p>
      <w:pPr>
        <w:jc w:val="center"/>
        <w:tabs>
          <w:tab w:val="left" w:pos="708" w:leader="none"/>
          <w:tab w:val="center" w:pos="4819" w:leader="none"/>
          <w:tab w:val="right" w:pos="9638" w:leader="none"/>
        </w:tabs>
        <w:rPr>
          <w:rFonts w:ascii="Arial" w:hAnsi="Arial" w:cs="Arial" w:eastAsia="Arial"/>
          <w:highlight w:val="none"/>
        </w:rPr>
      </w:pPr>
      <w:r>
        <w:rPr>
          <w:rFonts w:ascii="Arial" w:hAnsi="Arial" w:cs="Arial" w:eastAsia="Arial"/>
          <w:b/>
          <w:sz w:val="24"/>
          <w:lang w:eastAsia="it-IT"/>
        </w:rPr>
        <w:t xml:space="preserve">DEL CONSIGLIO COMUNALE</w:t>
      </w:r>
      <w:r>
        <w:rPr>
          <w:rFonts w:ascii="Arial" w:hAnsi="Arial" w:cs="Arial" w:eastAsia="Arial"/>
          <w:sz w:val="24"/>
          <w:highlight w:val="none"/>
        </w:rPr>
      </w:r>
      <w:r/>
    </w:p>
    <w:p>
      <w:pPr>
        <w:jc w:val="center"/>
        <w:tabs>
          <w:tab w:val="left" w:pos="708" w:leader="none"/>
          <w:tab w:val="center" w:pos="4819" w:leader="none"/>
          <w:tab w:val="right" w:pos="9638" w:leader="none"/>
        </w:tabs>
        <w:rPr>
          <w:rFonts w:ascii="Arial" w:hAnsi="Arial" w:cs="Arial" w:eastAsia="Arial"/>
          <w:highlight w:val="none"/>
        </w:rPr>
      </w:pPr>
      <w:r>
        <w:rPr>
          <w:rFonts w:ascii="Arial" w:hAnsi="Arial" w:cs="Arial" w:eastAsia="Arial"/>
          <w:sz w:val="24"/>
          <w:highlight w:val="none"/>
        </w:rPr>
      </w:r>
      <w:r>
        <w:rPr>
          <w:rFonts w:ascii="Arial" w:hAnsi="Arial" w:cs="Arial" w:eastAsia="Arial"/>
          <w:sz w:val="24"/>
          <w:highlight w:val="none"/>
        </w:rPr>
      </w:r>
      <w:r/>
    </w:p>
    <w:p>
      <w:pPr>
        <w:jc w:val="center"/>
        <w:tabs>
          <w:tab w:val="left" w:pos="708" w:leader="none"/>
          <w:tab w:val="center" w:pos="4819" w:leader="none"/>
          <w:tab w:val="right" w:pos="9638" w:leader="none"/>
        </w:tabs>
        <w:rPr>
          <w:rFonts w:ascii="Arial" w:hAnsi="Arial" w:cs="Arial" w:eastAsia="Arial"/>
        </w:rPr>
      </w:pPr>
      <w:r>
        <w:rPr>
          <w:rFonts w:ascii="Arial" w:hAnsi="Arial" w:cs="Arial" w:eastAsia="Arial"/>
          <w:b/>
          <w:sz w:val="24"/>
          <w:highlight w:val="none"/>
          <w:lang w:eastAsia="it-IT"/>
        </w:rPr>
        <w:t xml:space="preserve">n. </w:t>
      </w:r>
      <w:r>
        <w:rPr>
          <w:rFonts w:ascii="Arial" w:hAnsi="Arial" w:cs="Arial" w:eastAsia="Arial"/>
          <w:b/>
          <w:sz w:val="24"/>
          <w:lang w:eastAsia="it-IT"/>
        </w:rPr>
        <w:t xml:space="preserve">724 del </w:t>
      </w:r>
      <w:r>
        <w:rPr>
          <w:rFonts w:ascii="Arial" w:hAnsi="Arial" w:cs="Arial" w:eastAsia="Arial"/>
          <w:b/>
          <w:sz w:val="24"/>
          <w:lang w:eastAsia="it-IT"/>
        </w:rPr>
        <w:t xml:space="preserve">22/06/2026</w:t>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szCs w:val="14"/>
          <w:lang w:eastAsia="it-IT"/>
        </w:rPr>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szCs w:val="14"/>
          <w:lang w:eastAsia="it-IT"/>
        </w:rPr>
      </w:r>
      <w:r>
        <w:rPr>
          <w:rFonts w:ascii="Arial" w:hAnsi="Arial" w:cs="Arial" w:eastAsia="Arial"/>
          <w:sz w:val="24"/>
        </w:rPr>
      </w:r>
      <w:r/>
    </w:p>
    <w:p>
      <w:pPr>
        <w:jc w:val="both"/>
        <w:tabs>
          <w:tab w:val="left" w:pos="708" w:leader="none"/>
          <w:tab w:val="center" w:pos="4819" w:leader="none"/>
          <w:tab w:val="right" w:pos="9638" w:leader="none"/>
        </w:tabs>
        <w:rPr>
          <w:rFonts w:ascii="Arial" w:hAnsi="Arial" w:cs="Arial" w:eastAsia="Arial"/>
        </w:rPr>
      </w:pPr>
      <w:r>
        <w:rPr>
          <w:rFonts w:ascii="Arial" w:hAnsi="Arial" w:cs="Arial" w:eastAsia="Arial"/>
          <w:b/>
          <w:sz w:val="24"/>
          <w:lang w:eastAsia="it-IT"/>
        </w:rPr>
        <w:t xml:space="preserve">OGGETTO:</w:t>
      </w:r>
      <w:r>
        <w:rPr>
          <w:rFonts w:ascii="Arial" w:hAnsi="Arial" w:cs="Arial" w:eastAsia="Arial"/>
          <w:sz w:val="24"/>
        </w:rPr>
      </w:r>
      <w:r/>
    </w:p>
    <w:p>
      <w:pPr>
        <w:rPr>
          <w:rFonts w:ascii="Arial" w:hAnsi="Arial" w:cs="Arial" w:eastAsia="Arial"/>
        </w:rPr>
      </w:pPr>
      <w:r>
        <w:rPr>
          <w:rFonts w:ascii="Arial" w:hAnsi="Arial" w:cs="Arial" w:eastAsia="Arial"/>
          <w:b/>
          <w:sz w:val="24"/>
          <w:lang w:eastAsia="it-IT"/>
        </w:rPr>
        <w:t xml:space="preserve">ADESIONE ALLA ROTTAMAZIONE QUINQUIES - ARTICOLO 1, COMMI DA 82 A 101, L. N. 199/2025 E ARTICOLO 10 QUINQUIES, DL 38/2026, CONVERTITO CON L. 88 DEL 22.5.2026  </w:t>
      </w:r>
      <w:r>
        <w:rPr>
          <w:rFonts w:ascii="Arial" w:hAnsi="Arial" w:cs="Arial" w:eastAsia="Arial"/>
          <w:sz w:val="24"/>
        </w:rPr>
      </w:r>
      <w:r/>
    </w:p>
    <w:p>
      <w:pPr>
        <w:jc w:val="both"/>
        <w:tabs>
          <w:tab w:val="left" w:pos="708" w:leader="none"/>
          <w:tab w:val="center" w:pos="4819" w:leader="none"/>
          <w:tab w:val="right" w:pos="9638" w:leader="none"/>
        </w:tabs>
        <w:rPr>
          <w:rFonts w:ascii="Arial" w:hAnsi="Arial" w:cs="Arial" w:eastAsia="Arial"/>
        </w:rPr>
        <w:pBdr>
          <w:bottom w:val="single" w:color="000000" w:sz="6" w:space="0"/>
        </w:pBdr>
      </w:pPr>
      <w:r>
        <w:rPr>
          <w:rFonts w:ascii="Arial" w:hAnsi="Arial" w:cs="Arial" w:eastAsia="Arial"/>
          <w:sz w:val="24"/>
          <w:lang w:eastAsia="it-IT"/>
        </w:rPr>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lang w:eastAsia="it-IT"/>
        </w:rPr>
      </w:r>
      <w:r>
        <w:rPr>
          <w:rFonts w:ascii="Arial" w:hAnsi="Arial" w:cs="Arial" w:eastAsia="Arial"/>
          <w:sz w:val="24"/>
        </w:rPr>
      </w:r>
      <w:r/>
    </w:p>
    <w:p>
      <w:pPr>
        <w:pStyle w:val="772"/>
      </w:pPr>
      <w:r/>
      <w:r/>
    </w:p>
    <w:p>
      <w:pPr>
        <w:jc w:val="center"/>
        <w:rPr>
          <w:rFonts w:ascii="Arial" w:hAnsi="Arial" w:cs="Arial" w:eastAsia="Arial"/>
          <w:b/>
          <w:sz w:val="24"/>
          <w:highlight w:val="none"/>
        </w:rPr>
      </w:pPr>
      <w:r>
        <w:rPr>
          <w:rFonts w:ascii="Arial" w:hAnsi="Arial" w:cs="Arial" w:eastAsia="Arial"/>
          <w:b/>
          <w:sz w:val="24"/>
          <w:highlight w:val="none"/>
        </w:rPr>
      </w:r>
      <w:r>
        <w:rPr>
          <w:rFonts w:ascii="Arial" w:hAnsi="Arial" w:cs="Arial" w:eastAsia="Arial"/>
          <w:b/>
          <w:sz w:val="24"/>
          <w:highlight w:val="none"/>
        </w:rPr>
      </w:r>
      <w:r/>
    </w:p>
    <w:p>
      <w:pPr>
        <w:pStyle w:val="758"/>
        <w:jc w:val="center"/>
        <w:rPr>
          <w:rFonts w:ascii="Arial" w:hAnsi="Arial" w:cs="Arial" w:eastAsia="Arial"/>
          <w:b/>
          <w:bCs/>
          <w:sz w:val="24"/>
          <w:szCs w:val="24"/>
          <w:highlight w:val="none"/>
        </w:rPr>
      </w:pPr>
      <w:r>
        <w:rPr>
          <w:rFonts w:ascii="Arial" w:hAnsi="Arial" w:cs="Arial" w:eastAsia="Arial"/>
          <w:b/>
          <w:sz w:val="24"/>
        </w:rPr>
        <w:t xml:space="preserve">IL CONSIGLIO COMUNALE</w:t>
      </w:r>
      <w:r>
        <w:rPr>
          <w:rFonts w:ascii="Arial" w:hAnsi="Arial" w:cs="Arial" w:eastAsia="Arial"/>
          <w:b/>
          <w:bCs/>
          <w:sz w:val="24"/>
          <w:szCs w:val="24"/>
          <w:highlight w:val="none"/>
        </w:rPr>
      </w:r>
      <w:r/>
    </w:p>
    <w:p>
      <w:pPr>
        <w:jc w:val="left"/>
        <w:rPr>
          <w:rFonts w:ascii="Arial" w:hAnsi="Arial" w:cs="Arial" w:eastAsia="Arial"/>
          <w:b/>
          <w:bCs/>
          <w:sz w:val="24"/>
          <w:szCs w:val="24"/>
          <w:highlight w:val="none"/>
        </w:rPr>
      </w:pPr>
      <w:r>
        <w:rPr>
          <w:rFonts w:ascii="Arial" w:hAnsi="Arial" w:cs="Arial" w:eastAsia="Arial"/>
          <w:b/>
          <w:bCs/>
          <w:sz w:val="24"/>
          <w:szCs w:val="24"/>
          <w:highlight w:val="none"/>
        </w:rPr>
      </w:r>
      <w:r>
        <w:rPr>
          <w:rFonts w:ascii="Arial" w:hAnsi="Arial" w:cs="Arial" w:eastAsia="Arial"/>
          <w:b/>
          <w:bCs/>
          <w:sz w:val="24"/>
          <w:szCs w:val="24"/>
          <w:highlight w:val="none"/>
        </w:rPr>
      </w:r>
      <w:r/>
    </w:p>
    <w:p>
      <w:pPr>
        <w:jc w:val="center"/>
        <w:rPr>
          <w:rFonts w:ascii="Arial" w:hAnsi="Arial" w:cs="Arial" w:eastAsia="Arial"/>
          <w:b/>
          <w:bCs/>
          <w:sz w:val="24"/>
          <w:szCs w:val="24"/>
          <w:highlight w:val="none"/>
        </w:rPr>
      </w:pPr>
      <w:r>
        <w:rPr>
          <w:rFonts w:ascii="Arial" w:hAnsi="Arial" w:cs="Arial" w:eastAsia="Arial"/>
          <w:b/>
          <w:bCs/>
          <w:sz w:val="24"/>
          <w:szCs w:val="24"/>
          <w:highlight w:val="none"/>
        </w:rPr>
      </w:r>
      <w:r>
        <w:rPr>
          <w:rFonts w:ascii="Arial" w:hAnsi="Arial" w:cs="Arial" w:eastAsia="Arial"/>
          <w:b/>
          <w:bCs/>
          <w:sz w:val="24"/>
          <w:szCs w:val="24"/>
          <w:highlight w:val="none"/>
        </w:rPr>
      </w:r>
      <w:r/>
    </w:p>
    <w:p>
      <w:pPr>
        <w:ind w:left="0" w:right="0" w:firstLine="0"/>
        <w:jc w:val="both"/>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PREMESSO CHE:  </w:t>
      </w:r>
      <w:r>
        <w:rPr>
          <w:rFonts w:ascii="Times New Roman" w:hAnsi="Times New Roman" w:cs="Times New Roman" w:eastAsia="Times New Roman"/>
          <w:sz w:val="24"/>
        </w:rPr>
      </w:r>
      <w:r/>
    </w:p>
    <w:p>
      <w:pPr>
        <w:pStyle w:val="741"/>
        <w:numPr>
          <w:ilvl w:val="0"/>
          <w:numId w:val="2"/>
        </w:numPr>
        <w:ind w:right="0"/>
        <w:jc w:val="both"/>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l’articolo 10-quinquies del decreto-legge 27 marzo 2026, n. 38, introdotto dalla legge di conversione 22 maggio 2026, n. 88, ha disposto l’estensione della procedura di accesso e gestione della definizione agevolata di cui all’articolo 1</w:t>
      </w:r>
      <w:r>
        <w:rPr>
          <w:rFonts w:ascii="Times New Roman" w:hAnsi="Times New Roman" w:cs="Times New Roman" w:eastAsia="Times New Roman"/>
          <w:color w:val="000000"/>
          <w:sz w:val="24"/>
        </w:rPr>
        <w:t xml:space="preserve">, commi da 82 a 101, della legge 30 dicembre 2025, n. 199, ai carichi degli enti territoriali;</w:t>
      </w:r>
      <w:r>
        <w:rPr>
          <w:rFonts w:ascii="Times New Roman" w:hAnsi="Times New Roman" w:cs="Times New Roman" w:eastAsia="Times New Roman"/>
          <w:sz w:val="24"/>
        </w:rPr>
      </w:r>
      <w:r/>
    </w:p>
    <w:p>
      <w:pPr>
        <w:pStyle w:val="741"/>
        <w:numPr>
          <w:ilvl w:val="0"/>
          <w:numId w:val="2"/>
        </w:numPr>
        <w:ind w:right="0"/>
        <w:jc w:val="both"/>
        <w:spacing w:before="0" w:after="160" w:line="235" w:lineRule="atLeast"/>
        <w:rPr>
          <w:rFonts w:ascii="Times New Roman" w:hAnsi="Times New Roman" w:cs="Times New Roman" w:eastAsia="Times New Roman"/>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l’articolo 10-quinquies, d.l. n. 38 del 2026 limita l’applicazione della rottamazione quinquies ai carichi affidati dalle regioni e dagli enti locali che “nell’e</w:t>
      </w:r>
      <w:r>
        <w:rPr>
          <w:rFonts w:ascii="Times New Roman" w:hAnsi="Times New Roman" w:cs="Times New Roman" w:eastAsia="Times New Roman"/>
          <w:color w:val="000000"/>
          <w:sz w:val="24"/>
        </w:rPr>
        <w:t xml:space="preserve">sercizio della propria autonoma potestà impositiva, ne abbiano previsto, con le forme prescritte dalla legislazione vigente per l’adozione dei propri atti, l’applicazione alle proprie entrate”; </w:t>
      </w:r>
      <w:r/>
    </w:p>
    <w:p>
      <w:pPr>
        <w:ind w:left="0" w:right="0" w:firstLine="0"/>
        <w:jc w:val="both"/>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CONSIDERATO CHE:</w:t>
      </w:r>
      <w:r>
        <w:rPr>
          <w:rFonts w:ascii="Times New Roman" w:hAnsi="Times New Roman" w:cs="Times New Roman" w:eastAsia="Times New Roman"/>
          <w:sz w:val="24"/>
        </w:rPr>
      </w:r>
      <w:r/>
    </w:p>
    <w:p>
      <w:pPr>
        <w:pStyle w:val="741"/>
        <w:numPr>
          <w:ilvl w:val="0"/>
          <w:numId w:val="4"/>
        </w:numPr>
        <w:ind w:right="0"/>
        <w:jc w:val="both"/>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la definizione agevolata riguarda tutti i debiti, tributari e patrimoniali, con esclusione di quelli derivanti da pronunce di condanna della Corte dei conti, risultanti dai carichi affidati dal Comune all’agente della riscossione (attual</w:t>
      </w:r>
      <w:r>
        <w:rPr>
          <w:rFonts w:ascii="Times New Roman" w:hAnsi="Times New Roman" w:cs="Times New Roman" w:eastAsia="Times New Roman"/>
          <w:color w:val="000000"/>
          <w:sz w:val="24"/>
        </w:rPr>
        <w:t xml:space="preserve">mente l’Agenzia delle entrate-Riscossione-Ader) dal 1° gennaio 2000 al 31 dicembre 2023; </w:t>
      </w:r>
      <w:r>
        <w:rPr>
          <w:rFonts w:ascii="Times New Roman" w:hAnsi="Times New Roman" w:cs="Times New Roman" w:eastAsia="Times New Roman"/>
          <w:sz w:val="24"/>
        </w:rPr>
      </w:r>
      <w:r/>
    </w:p>
    <w:p>
      <w:pPr>
        <w:pStyle w:val="741"/>
        <w:numPr>
          <w:ilvl w:val="0"/>
          <w:numId w:val="3"/>
        </w:numPr>
        <w:ind w:right="0"/>
        <w:jc w:val="both"/>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rientrano nell’ambito di applicazione della definizione anche i carichi già oggetto delle precedenti rottamazioni per i quali si è determinata l’inefficacia della defi</w:t>
      </w:r>
      <w:r>
        <w:rPr>
          <w:rFonts w:ascii="Times New Roman" w:hAnsi="Times New Roman" w:cs="Times New Roman" w:eastAsia="Times New Roman"/>
          <w:color w:val="000000"/>
          <w:sz w:val="24"/>
        </w:rPr>
        <w:t xml:space="preserve">nizione a seguito del mancato o non tempestivo pagamento degli importi dovuti alle previste scadenze; </w:t>
      </w:r>
      <w:r>
        <w:rPr>
          <w:rFonts w:ascii="Times New Roman" w:hAnsi="Times New Roman" w:cs="Times New Roman" w:eastAsia="Times New Roman"/>
          <w:sz w:val="24"/>
        </w:rPr>
      </w:r>
      <w:r/>
    </w:p>
    <w:p>
      <w:pPr>
        <w:pStyle w:val="741"/>
        <w:numPr>
          <w:ilvl w:val="0"/>
          <w:numId w:val="3"/>
        </w:numPr>
        <w:ind w:right="0"/>
        <w:jc w:val="both"/>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a seguito della presentazione della dichiarazione di adesione, ed al suo successivo accoglimento, il debitore verserà unicamente le somme </w:t>
      </w:r>
      <w:r>
        <w:rPr>
          <w:rFonts w:ascii="Times New Roman" w:hAnsi="Times New Roman" w:cs="Times New Roman" w:eastAsia="Times New Roman"/>
          <w:color w:val="000000"/>
          <w:sz w:val="24"/>
        </w:rPr>
        <w:t xml:space="preserve">dovute a titolo di capitale e quelle maturate a titolo di rimborso spese per le procedure esecutive e per i diritti di notifica e che sono pertanto abbuonati gli importi originariamente dovuti a titolo di interessi, sanzioni, interessi di mora e aggio; </w:t>
      </w:r>
      <w:r>
        <w:rPr>
          <w:rFonts w:ascii="Times New Roman" w:hAnsi="Times New Roman" w:cs="Times New Roman" w:eastAsia="Times New Roman"/>
          <w:sz w:val="24"/>
        </w:rPr>
      </w:r>
      <w:r/>
    </w:p>
    <w:p>
      <w:pPr>
        <w:pStyle w:val="741"/>
        <w:numPr>
          <w:ilvl w:val="0"/>
          <w:numId w:val="3"/>
        </w:numPr>
        <w:ind w:right="0"/>
        <w:jc w:val="both"/>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l’a</w:t>
      </w:r>
      <w:r>
        <w:rPr>
          <w:rFonts w:ascii="Times New Roman" w:hAnsi="Times New Roman" w:cs="Times New Roman" w:eastAsia="Times New Roman"/>
          <w:color w:val="000000"/>
          <w:sz w:val="24"/>
        </w:rPr>
        <w:t xml:space="preserve">rt. 10-quinquies, comma 1, lett. f), dispone che per le sanzioni amministrative, comprese quelle per violazioni del codice della strada, di cui al d.lgs. n. 285 del 1992, diverse da quelle irrogate per violazioni tributarie, la definizione opera limitatame</w:t>
      </w:r>
      <w:r>
        <w:rPr>
          <w:rFonts w:ascii="Times New Roman" w:hAnsi="Times New Roman" w:cs="Times New Roman" w:eastAsia="Times New Roman"/>
          <w:color w:val="000000"/>
          <w:sz w:val="24"/>
        </w:rPr>
        <w:t xml:space="preserve">nte agli interessi, comunque denominati, compresi la maggiorazione semestrale di cui all’art. 27, legge n. 689 del 1981 e gli interessi di mora di cui all’art. 30, d.P.R. n. 602/1973, oltre all’aggio spettante all’Agente della riscossione; </w:t>
      </w:r>
      <w:r>
        <w:rPr>
          <w:rFonts w:ascii="Times New Roman" w:hAnsi="Times New Roman" w:cs="Times New Roman" w:eastAsia="Times New Roman"/>
          <w:color w:val="000000"/>
          <w:sz w:val="24"/>
        </w:rPr>
      </w:r>
      <w:r/>
    </w:p>
    <w:p>
      <w:pPr>
        <w:pStyle w:val="741"/>
        <w:numPr>
          <w:ilvl w:val="0"/>
          <w:numId w:val="3"/>
        </w:numPr>
        <w:ind w:right="0"/>
        <w:jc w:val="both"/>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la definizione s</w:t>
      </w:r>
      <w:r>
        <w:rPr>
          <w:rFonts w:ascii="Times New Roman" w:hAnsi="Times New Roman" w:cs="Times New Roman" w:eastAsia="Times New Roman"/>
          <w:color w:val="000000"/>
          <w:sz w:val="24"/>
        </w:rPr>
        <w:t xml:space="preserve">i applica anche agli importi in contezioso, per i quali, l’art. 1, comma 87, legge n. 199 del 2025, precisa che il debitore deve indicare nella dichiarazione di adesione l'eventuale pendenza di giudizi aventi ad oggetto i carichi in essa ricompresi e assum</w:t>
      </w:r>
      <w:r>
        <w:rPr>
          <w:rFonts w:ascii="Times New Roman" w:hAnsi="Times New Roman" w:cs="Times New Roman" w:eastAsia="Times New Roman"/>
          <w:color w:val="000000"/>
          <w:sz w:val="24"/>
        </w:rPr>
        <w:t xml:space="preserve">ere l'impegno a rinunciare agli stessi giudizi, che, dietro presentazione di copia della dichiarazione e nelle more del pagamento della prima o unica rata delle somme dovute, sono sospesi dal giudice; </w:t>
      </w:r>
      <w:r>
        <w:rPr>
          <w:rFonts w:ascii="Times New Roman" w:hAnsi="Times New Roman" w:cs="Times New Roman" w:eastAsia="Times New Roman"/>
          <w:sz w:val="24"/>
        </w:rPr>
      </w:r>
      <w:r/>
    </w:p>
    <w:p>
      <w:pPr>
        <w:pStyle w:val="741"/>
        <w:numPr>
          <w:ilvl w:val="0"/>
          <w:numId w:val="3"/>
        </w:numPr>
        <w:ind w:right="0"/>
        <w:jc w:val="both"/>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a decorrere dal 15 settembre 2026, l’agente della risco</w:t>
      </w:r>
      <w:r>
        <w:rPr>
          <w:rFonts w:ascii="Times New Roman" w:hAnsi="Times New Roman" w:cs="Times New Roman" w:eastAsia="Times New Roman"/>
          <w:color w:val="000000"/>
          <w:sz w:val="24"/>
        </w:rPr>
        <w:t xml:space="preserve">ssione rende disponibili ai debitori, nell’area riservata del proprio sito internet istituzionale, i dati necessari a individuare i carichi definibili; </w:t>
      </w:r>
      <w:r>
        <w:rPr>
          <w:rFonts w:ascii="Times New Roman" w:hAnsi="Times New Roman" w:cs="Times New Roman" w:eastAsia="Times New Roman"/>
          <w:sz w:val="24"/>
        </w:rPr>
      </w:r>
      <w:r/>
    </w:p>
    <w:p>
      <w:pPr>
        <w:pStyle w:val="741"/>
        <w:numPr>
          <w:ilvl w:val="0"/>
          <w:numId w:val="3"/>
        </w:numPr>
        <w:ind w:right="0"/>
        <w:jc w:val="both"/>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il debitore rende tra il 16 settembre 2026 e il 31 ottobre 2026 la dichiarazione di voler procedere alla</w:t>
      </w:r>
      <w:r>
        <w:rPr>
          <w:rFonts w:ascii="Times New Roman" w:hAnsi="Times New Roman" w:cs="Times New Roman" w:eastAsia="Times New Roman"/>
          <w:color w:val="000000"/>
          <w:sz w:val="24"/>
        </w:rPr>
        <w:t xml:space="preserve"> definizione presentando apposita dichiarazione, con le modalità, esclusivamente telematiche, che la stessa Ader pubblica nel proprio sito internet istituzionale entro il 15 settembre 2026;</w:t>
      </w:r>
      <w:r>
        <w:rPr>
          <w:rFonts w:ascii="Times New Roman" w:hAnsi="Times New Roman" w:cs="Times New Roman" w:eastAsia="Times New Roman"/>
          <w:sz w:val="24"/>
        </w:rPr>
      </w:r>
      <w:r/>
    </w:p>
    <w:p>
      <w:pPr>
        <w:pStyle w:val="741"/>
        <w:numPr>
          <w:ilvl w:val="0"/>
          <w:numId w:val="3"/>
        </w:numPr>
        <w:ind w:right="0"/>
        <w:jc w:val="both"/>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il pagamento delle somme dovute per la definizione è effettuato in</w:t>
      </w:r>
      <w:r>
        <w:rPr>
          <w:rFonts w:ascii="Times New Roman" w:hAnsi="Times New Roman" w:cs="Times New Roman" w:eastAsia="Times New Roman"/>
          <w:color w:val="000000"/>
          <w:sz w:val="24"/>
        </w:rPr>
        <w:t xml:space="preserve"> unica soluzione entro il 31 gennaio 2027 o nel numero massimo di cinquantaquattro rate bimestrali di pari ammontare, con scadenza il 31 gennaio, il 31 marzo, il 31 maggio, il 31 luglio, il 30 settembre e il 30 novembre di ciascun anno a decorrere dal 2027</w:t>
      </w:r>
      <w:r>
        <w:rPr>
          <w:rFonts w:ascii="Times New Roman" w:hAnsi="Times New Roman" w:cs="Times New Roman" w:eastAsia="Times New Roman"/>
          <w:color w:val="000000"/>
          <w:sz w:val="24"/>
        </w:rPr>
        <w:t xml:space="preserve">; </w:t>
      </w:r>
      <w:r>
        <w:rPr>
          <w:rFonts w:ascii="Times New Roman" w:hAnsi="Times New Roman" w:cs="Times New Roman" w:eastAsia="Times New Roman"/>
          <w:sz w:val="24"/>
        </w:rPr>
      </w:r>
      <w:r/>
    </w:p>
    <w:p>
      <w:pPr>
        <w:pStyle w:val="741"/>
        <w:numPr>
          <w:ilvl w:val="0"/>
          <w:numId w:val="3"/>
        </w:numPr>
        <w:ind w:right="0"/>
        <w:jc w:val="both"/>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in caso di pagamento rateale, si applicano gli interessi al tasso del 3 per cento annuo a decorrere dal 1° febbraio 2027; </w:t>
      </w:r>
      <w:r>
        <w:rPr>
          <w:rFonts w:ascii="Times New Roman" w:hAnsi="Times New Roman" w:cs="Times New Roman" w:eastAsia="Times New Roman"/>
          <w:sz w:val="24"/>
        </w:rPr>
      </w:r>
      <w:r/>
    </w:p>
    <w:p>
      <w:pPr>
        <w:pStyle w:val="741"/>
        <w:numPr>
          <w:ilvl w:val="0"/>
          <w:numId w:val="3"/>
        </w:numPr>
        <w:ind w:right="0"/>
        <w:jc w:val="both"/>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entro il 31 dicembre 2026, ai sensi della lettera f), comma 1, dell’articolo 10-quinquies del più volte citato decreto-legge n. 38 d</w:t>
      </w:r>
      <w:r>
        <w:rPr>
          <w:rFonts w:ascii="Times New Roman" w:hAnsi="Times New Roman" w:cs="Times New Roman" w:eastAsia="Times New Roman"/>
          <w:color w:val="000000"/>
          <w:sz w:val="24"/>
        </w:rPr>
        <w:t xml:space="preserve">el 2026, l'agente della riscossione comunica ai debitori che hanno presentato la dichiarazione di adesione l'ammontare complessivo delle somme dovute ai fini della definizione, nonché quello delle singole rate, che non possono essere inferiori a 100 euro, </w:t>
      </w:r>
      <w:r>
        <w:rPr>
          <w:rFonts w:ascii="Times New Roman" w:hAnsi="Times New Roman" w:cs="Times New Roman" w:eastAsia="Times New Roman"/>
          <w:color w:val="000000"/>
          <w:sz w:val="24"/>
        </w:rPr>
        <w:t xml:space="preserve">con le relative scadenze; </w:t>
      </w:r>
      <w:r>
        <w:rPr>
          <w:rFonts w:ascii="Times New Roman" w:hAnsi="Times New Roman" w:cs="Times New Roman" w:eastAsia="Times New Roman"/>
          <w:sz w:val="24"/>
        </w:rPr>
      </w:r>
      <w:r/>
    </w:p>
    <w:p>
      <w:pPr>
        <w:pStyle w:val="741"/>
        <w:numPr>
          <w:ilvl w:val="0"/>
          <w:numId w:val="3"/>
        </w:numPr>
        <w:ind w:right="0"/>
        <w:jc w:val="both"/>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l’art. 1, comma 95, legge n. 199 del 2025, disciplina la decadenza dalla definizione a seguito di mancato o di insufficiente versamento dell’unica rata scelta dal debitore o, in caso di rateazione, di due rate, anche non consecuti</w:t>
      </w:r>
      <w:r>
        <w:rPr>
          <w:rFonts w:ascii="Times New Roman" w:hAnsi="Times New Roman" w:cs="Times New Roman" w:eastAsia="Times New Roman"/>
          <w:color w:val="000000"/>
          <w:sz w:val="24"/>
        </w:rPr>
        <w:t xml:space="preserve">ve o dell’ultima rata del piano di rateazione, fermo restando la tolleranza del tardivo versamento non superiore a 5 giorni; </w:t>
      </w:r>
      <w:r>
        <w:rPr>
          <w:rFonts w:ascii="Times New Roman" w:hAnsi="Times New Roman" w:cs="Times New Roman" w:eastAsia="Times New Roman"/>
          <w:sz w:val="24"/>
        </w:rPr>
      </w:r>
      <w:r/>
    </w:p>
    <w:p>
      <w:pPr>
        <w:pStyle w:val="741"/>
        <w:numPr>
          <w:ilvl w:val="0"/>
          <w:numId w:val="3"/>
        </w:numPr>
        <w:ind w:right="0"/>
        <w:jc w:val="both"/>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in tali casi la definizione agevolata non produce effetti, riprendendo di conseguenza a decorrere i termini di prescrizione e di de</w:t>
      </w:r>
      <w:r>
        <w:rPr>
          <w:rFonts w:ascii="Times New Roman" w:hAnsi="Times New Roman" w:cs="Times New Roman" w:eastAsia="Times New Roman"/>
          <w:color w:val="000000"/>
          <w:sz w:val="24"/>
        </w:rPr>
        <w:t xml:space="preserve">cadenza per il recupero dei carichi oggetto di dichiarazione, che prosegue a cura dell'agente della riscossione, mentre i versamenti effettuati sono acquisiti a titolo di acconto dell'importo complessivamente dovuto a seguito dell'affidamento del carico, s</w:t>
      </w:r>
      <w:r>
        <w:rPr>
          <w:rFonts w:ascii="Times New Roman" w:hAnsi="Times New Roman" w:cs="Times New Roman" w:eastAsia="Times New Roman"/>
          <w:color w:val="000000"/>
          <w:sz w:val="24"/>
        </w:rPr>
        <w:t xml:space="preserve">enza che si determini l'estinzione del debito residuo. </w:t>
      </w:r>
      <w:r>
        <w:rPr>
          <w:rFonts w:ascii="Times New Roman" w:hAnsi="Times New Roman" w:cs="Times New Roman" w:eastAsia="Times New Roman"/>
          <w:sz w:val="24"/>
        </w:rPr>
      </w:r>
      <w:r/>
    </w:p>
    <w:p>
      <w:pPr>
        <w:ind w:left="0" w:right="0" w:firstLine="0"/>
        <w:jc w:val="both"/>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CONSIDERATO INOLTRE CHE:</w:t>
      </w:r>
      <w:r>
        <w:rPr>
          <w:rFonts w:ascii="Times New Roman" w:hAnsi="Times New Roman" w:cs="Times New Roman" w:eastAsia="Times New Roman"/>
          <w:sz w:val="24"/>
        </w:rPr>
      </w:r>
      <w:r/>
    </w:p>
    <w:p>
      <w:pPr>
        <w:pStyle w:val="741"/>
        <w:numPr>
          <w:ilvl w:val="0"/>
          <w:numId w:val="5"/>
        </w:numPr>
        <w:ind w:right="0"/>
        <w:jc w:val="both"/>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l’articolo 10-quinquies, d.l. n. 38 del 2026 prevede al comma 2 che “I provvedimenti adottati dagli enti creditori ai sensi del comma 1 sono pubblicati nel sito internet isti</w:t>
      </w:r>
      <w:r>
        <w:rPr>
          <w:rFonts w:ascii="Times New Roman" w:hAnsi="Times New Roman" w:cs="Times New Roman" w:eastAsia="Times New Roman"/>
          <w:color w:val="000000"/>
          <w:sz w:val="24"/>
        </w:rPr>
        <w:t xml:space="preserve">tuzionale degli stessi enti e comunicati, entro il 31 luglio 2026, all’agente della riscossione con le modalità che lo stesso agente rende disponibili nel proprio sito internet istituzionale entro il 15 giugno 2026”; </w:t>
      </w:r>
      <w:r>
        <w:rPr>
          <w:rFonts w:ascii="Times New Roman" w:hAnsi="Times New Roman" w:cs="Times New Roman" w:eastAsia="Times New Roman"/>
          <w:sz w:val="24"/>
        </w:rPr>
      </w:r>
      <w:r/>
    </w:p>
    <w:p>
      <w:pPr>
        <w:pStyle w:val="741"/>
        <w:numPr>
          <w:ilvl w:val="0"/>
          <w:numId w:val="5"/>
        </w:numPr>
        <w:ind w:right="0"/>
        <w:jc w:val="both"/>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lo stesso comma 2 dispone altresì che la delibera consiliare di adesione alla rottamazione quinquies acquista efficacia con la pubblicazione sul sito internet istituzionale dell’ente e ciò in</w:t>
      </w:r>
      <w:r>
        <w:rPr>
          <w:rFonts w:ascii="Times New Roman" w:hAnsi="Times New Roman" w:cs="Times New Roman" w:eastAsia="Times New Roman"/>
          <w:color w:val="000000"/>
          <w:sz w:val="24"/>
        </w:rPr>
        <w:t xml:space="preserve"> deroga  “all’articolo 13, commi 15, 15-ter, 15-quater e 15-quinquies, del decreto-legge 6 dicembre 2011, n. 201, convertito, con modificazioni, dalla legge 22 dicembre 2011, n. 214, all’articolo 1, comma 3, del decreto legislativo 28 settembre 1998, n. 36</w:t>
      </w:r>
      <w:r>
        <w:rPr>
          <w:rFonts w:ascii="Times New Roman" w:hAnsi="Times New Roman" w:cs="Times New Roman" w:eastAsia="Times New Roman"/>
          <w:color w:val="000000"/>
          <w:sz w:val="24"/>
        </w:rPr>
        <w:t xml:space="preserve">0, all’articolo 14, comma 8, del decreto legislativo 14 marzo 2011, n. 23, e all’articolo 1, comma 767, della legge 27 dicembre 2019, n. 160,” e che la delibera stessa deve essere trasmessa, ai soli fini statistici, al Ministero dell’economia e delle finan</w:t>
      </w:r>
      <w:r>
        <w:rPr>
          <w:rFonts w:ascii="Times New Roman" w:hAnsi="Times New Roman" w:cs="Times New Roman" w:eastAsia="Times New Roman"/>
          <w:color w:val="000000"/>
          <w:sz w:val="24"/>
        </w:rPr>
        <w:t xml:space="preserve">ze – Dipartimento delle finanze, entro sessanta giorni dalla data di pubblicazione; </w:t>
      </w:r>
      <w:r>
        <w:rPr>
          <w:rFonts w:ascii="Times New Roman" w:hAnsi="Times New Roman" w:cs="Times New Roman" w:eastAsia="Times New Roman"/>
          <w:sz w:val="24"/>
        </w:rPr>
      </w:r>
      <w:r/>
    </w:p>
    <w:p>
      <w:pPr>
        <w:pStyle w:val="741"/>
        <w:numPr>
          <w:ilvl w:val="0"/>
          <w:numId w:val="5"/>
        </w:numPr>
        <w:ind w:right="0"/>
        <w:jc w:val="both"/>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l’art. 1, comma 101, legge n. 199 del 2025, dispone che a seguito del pagamento delle somme dovute per la definizione agevolata, l'agente della riscossione è automaticame</w:t>
      </w:r>
      <w:r>
        <w:rPr>
          <w:rFonts w:ascii="Times New Roman" w:hAnsi="Times New Roman" w:cs="Times New Roman" w:eastAsia="Times New Roman"/>
          <w:color w:val="000000"/>
          <w:sz w:val="24"/>
        </w:rPr>
        <w:t xml:space="preserve">nte discaricato dell'importo residuo. Al fine di consentire agli enti creditori di eliminare dalle proprie scritture patrimoniali i crediti corrispondenti alle quote discaricate, lo stesso agente della riscossione trasmette, anche in via telematica, a cias</w:t>
      </w:r>
      <w:r>
        <w:rPr>
          <w:rFonts w:ascii="Times New Roman" w:hAnsi="Times New Roman" w:cs="Times New Roman" w:eastAsia="Times New Roman"/>
          <w:color w:val="000000"/>
          <w:sz w:val="24"/>
        </w:rPr>
        <w:t xml:space="preserve">cun ente interessato, entro il 31 dicembre 2036, l'elenco dei debitori che si sono avvalsi della definizione e dei codici tributo per i quali è stato effettuato il versamento. </w:t>
      </w:r>
      <w:r>
        <w:rPr>
          <w:rFonts w:ascii="Times New Roman" w:hAnsi="Times New Roman" w:cs="Times New Roman" w:eastAsia="Times New Roman"/>
          <w:sz w:val="24"/>
        </w:rPr>
      </w:r>
      <w:r/>
    </w:p>
    <w:p>
      <w:pPr>
        <w:ind w:left="0" w:right="0" w:firstLine="0"/>
        <w:jc w:val="both"/>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CONSIDERATO ALTRESÌ CHE:</w:t>
      </w:r>
      <w:r>
        <w:rPr>
          <w:rFonts w:ascii="Times New Roman" w:hAnsi="Times New Roman" w:cs="Times New Roman" w:eastAsia="Times New Roman"/>
          <w:sz w:val="24"/>
        </w:rPr>
      </w:r>
      <w:r/>
    </w:p>
    <w:p>
      <w:pPr>
        <w:pStyle w:val="741"/>
        <w:numPr>
          <w:ilvl w:val="0"/>
          <w:numId w:val="6"/>
        </w:numPr>
        <w:ind w:right="0"/>
        <w:jc w:val="both"/>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l’adesione alla rottamazione da parte del Comune co</w:t>
      </w:r>
      <w:r>
        <w:rPr>
          <w:rFonts w:ascii="Times New Roman" w:hAnsi="Times New Roman" w:cs="Times New Roman" w:eastAsia="Times New Roman"/>
          <w:color w:val="000000"/>
          <w:sz w:val="24"/>
        </w:rPr>
        <w:t xml:space="preserve">nsente l’acquisizione di crediti in larga parte di difficile esigibilità e di origine risalente nel tempo, accelera la regolarizzazione di posizioni creditorie, abbatte possibilità di contenzioso e esigenze di gestione dei crediti pregressi, anche a seguit</w:t>
      </w:r>
      <w:r>
        <w:rPr>
          <w:rFonts w:ascii="Times New Roman" w:hAnsi="Times New Roman" w:cs="Times New Roman" w:eastAsia="Times New Roman"/>
          <w:color w:val="000000"/>
          <w:sz w:val="24"/>
        </w:rPr>
        <w:t xml:space="preserve">o della riconsegna da parte dell’agente della riscossione prevista dalla riforma della riscossione di cui al decreto legislativo 110/2024, art. 7, comma 2</w:t>
      </w:r>
      <w:r>
        <w:rPr>
          <w:rFonts w:ascii="Times New Roman" w:hAnsi="Times New Roman" w:cs="Times New Roman" w:eastAsia="Times New Roman"/>
          <w:color w:val="000000"/>
          <w:sz w:val="24"/>
        </w:rPr>
        <w:t xml:space="preserve">;</w:t>
      </w:r>
      <w:r/>
    </w:p>
    <w:p>
      <w:pPr>
        <w:pStyle w:val="741"/>
        <w:numPr>
          <w:ilvl w:val="0"/>
          <w:numId w:val="6"/>
        </w:numPr>
        <w:ind w:right="0"/>
        <w:jc w:val="both"/>
        <w:spacing w:before="0" w:after="160" w:line="235" w:lineRule="atLeast"/>
        <w:rPr>
          <w:rFonts w:ascii="Times New Roman" w:hAnsi="Times New Roman" w:cs="Times New Roman" w:eastAsia="Times New Roman"/>
          <w:i w:val="0"/>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none"/>
        </w:rPr>
        <w:t xml:space="preserve">l’adesione del Comune alla rottamazione </w:t>
      </w:r>
      <w:r>
        <w:rPr>
          <w:rFonts w:ascii="Times New Roman" w:hAnsi="Times New Roman" w:cs="Times New Roman" w:eastAsia="Times New Roman"/>
          <w:i/>
          <w:color w:val="000000"/>
          <w:sz w:val="24"/>
          <w:highlight w:val="none"/>
        </w:rPr>
        <w:t xml:space="preserve">quinquies </w:t>
      </w:r>
      <w:r>
        <w:rPr>
          <w:rFonts w:ascii="Times New Roman" w:hAnsi="Times New Roman" w:cs="Times New Roman" w:eastAsia="Times New Roman"/>
          <w:i w:val="0"/>
          <w:color w:val="000000"/>
          <w:sz w:val="24"/>
          <w:highlight w:val="none"/>
        </w:rPr>
        <w:t xml:space="preserve">ha pertanto effetti finanziari sostenibili, in considerazione dei carichi già stralciati dal bilancio, la cui parziale riscossione darebbe luogo alla registrazione di maggiori entrate, mentre per i cari</w:t>
      </w:r>
      <w:r>
        <w:rPr>
          <w:rFonts w:ascii="Times New Roman" w:hAnsi="Times New Roman" w:cs="Times New Roman" w:eastAsia="Times New Roman"/>
          <w:i w:val="0"/>
          <w:color w:val="000000"/>
          <w:sz w:val="24"/>
          <w:highlight w:val="none"/>
        </w:rPr>
        <w:t xml:space="preserve">chi iscritti a bilancio e non interamente svalutati non vi sarebbe una riduzione dei residui attivi in quanto vengono normalmente registrati i</w:t>
      </w:r>
      <w:r>
        <w:rPr>
          <w:rFonts w:ascii="Times New Roman" w:hAnsi="Times New Roman" w:cs="Times New Roman" w:eastAsia="Times New Roman"/>
          <w:i w:val="0"/>
          <w:color w:val="000000"/>
          <w:sz w:val="24"/>
          <w:highlight w:val="none"/>
        </w:rPr>
        <w:t xml:space="preserve">n bilancio solo gli importi del tributo dei ruoli mentre per le sanzioni ed interessi la registrazione avviene con il principio della cassa, in attuazione del principio contabile 4/2 allegato al D.Lgs 118/2011 paragrafo 3.7.1.che espressamente stabilisce: </w:t>
      </w:r>
      <w:r>
        <w:rPr>
          <w:rFonts w:ascii="Times New Roman" w:hAnsi="Times New Roman" w:cs="Times New Roman" w:eastAsia="Times New Roman"/>
          <w:i/>
          <w:color w:val="000000"/>
          <w:sz w:val="24"/>
          <w:highlight w:val="none"/>
        </w:rPr>
        <w:t xml:space="preserve">“le sanzioni e gli interessi correlati ai ruoli coattivi </w:t>
      </w:r>
      <w:r>
        <w:rPr>
          <w:rFonts w:ascii="Times New Roman" w:hAnsi="Times New Roman" w:cs="Times New Roman" w:eastAsia="Times New Roman"/>
          <w:i/>
          <w:color w:val="000000"/>
          <w:sz w:val="24"/>
          <w:highlight w:val="none"/>
        </w:rPr>
        <w:t xml:space="preserve">sono accertati per cassa. Sono accertati per cassa anche le sanzioni e gli interessi correlati ai ruoli coattivi riguardanti tipologie di entrate diverse dai tributi, esclusi i casi in cui è espressamente prevista una differente modalità di accertamento”, </w:t>
      </w:r>
      <w:r>
        <w:rPr>
          <w:rFonts w:ascii="Times New Roman" w:hAnsi="Times New Roman" w:cs="Times New Roman" w:eastAsia="Times New Roman"/>
          <w:i w:val="0"/>
          <w:color w:val="000000"/>
          <w:sz w:val="24"/>
          <w:highlight w:val="none"/>
        </w:rPr>
        <w:t xml:space="preserve">compatibile con il mantenimento degli equilibri finanziari.</w:t>
      </w:r>
      <w:r>
        <w:rPr>
          <w:i w:val="0"/>
        </w:rPr>
      </w:r>
      <w:r/>
    </w:p>
    <w:p>
      <w:pPr>
        <w:ind w:left="0" w:right="0" w:firstLine="0"/>
        <w:jc w:val="both"/>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color w:val="000000"/>
          <w:sz w:val="24"/>
        </w:rPr>
        <w:t xml:space="preserve">RITENUTO PERTANTO di deliberare, ai sensi dell’articolo 10-quinquies, decreto-legge 27 marzo 2026, n</w:t>
      </w:r>
      <w:r>
        <w:rPr>
          <w:rFonts w:ascii="Times New Roman" w:hAnsi="Times New Roman" w:cs="Times New Roman" w:eastAsia="Times New Roman"/>
          <w:color w:val="000000"/>
          <w:sz w:val="24"/>
        </w:rPr>
        <w:t xml:space="preserve">. 38, l’adesione alla definizione agevolata di cui all’articolo 1, commi da 82 a 101, legge 30 dicembre 2025, n. 199, così come integrata dal citato articolo 10-quinquies. </w:t>
      </w:r>
      <w:r>
        <w:rPr>
          <w:rFonts w:ascii="Times New Roman" w:hAnsi="Times New Roman" w:cs="Times New Roman" w:eastAsia="Times New Roman"/>
          <w:color w:val="000000"/>
          <w:sz w:val="24"/>
        </w:rPr>
      </w:r>
      <w:r/>
    </w:p>
    <w:p>
      <w:pPr>
        <w:ind w:left="0" w:right="0" w:firstLine="0"/>
        <w:jc w:val="both"/>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VISTO l'articolo 52 del decreto legislativo 15 dicembre 1997, n. 446 che disciplina </w:t>
      </w:r>
      <w:r>
        <w:rPr>
          <w:rFonts w:ascii="Times New Roman" w:hAnsi="Times New Roman" w:cs="Times New Roman" w:eastAsia="Times New Roman"/>
          <w:color w:val="000000"/>
          <w:sz w:val="24"/>
        </w:rPr>
        <w:t xml:space="preserve">la potestà regolamentare del Comune in tema di entrate, anche tributarie.  </w:t>
      </w:r>
      <w:r>
        <w:rPr>
          <w:rFonts w:ascii="Times New Roman" w:hAnsi="Times New Roman" w:cs="Times New Roman" w:eastAsia="Times New Roman"/>
          <w:color w:val="000000"/>
          <w:sz w:val="24"/>
        </w:rPr>
      </w:r>
      <w:r/>
    </w:p>
    <w:p>
      <w:pPr>
        <w:ind w:left="0" w:right="0" w:firstLine="0"/>
        <w:jc w:val="both"/>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ACQUISITO, inoltre, il parere favorevole di regolarità tecnica e contabile di cui all’art. 49</w:t>
      </w:r>
      <w:r>
        <w:rPr>
          <w:rFonts w:ascii="Times New Roman" w:hAnsi="Times New Roman" w:cs="Times New Roman" w:eastAsia="Times New Roman"/>
          <w:color w:val="000000"/>
          <w:sz w:val="24"/>
        </w:rPr>
        <w:t xml:space="preserve"> del D.lgs. 267/2000 – Testo unico delle leggi sull’Ordinamento degli EE.LL.</w:t>
      </w:r>
      <w:r>
        <w:rPr>
          <w:rFonts w:ascii="Times New Roman" w:hAnsi="Times New Roman" w:cs="Times New Roman" w:eastAsia="Times New Roman"/>
          <w:color w:val="000000"/>
          <w:sz w:val="24"/>
        </w:rPr>
      </w:r>
      <w:r/>
    </w:p>
    <w:p>
      <w:pPr>
        <w:pStyle w:val="742"/>
        <w:rPr>
          <w:rFonts w:ascii="Times New Roman" w:hAnsi="Times New Roman" w:cs="Times New Roman" w:eastAsia="Times New Roman"/>
          <w:color w:val="000000"/>
          <w:sz w:val="24"/>
        </w:rPr>
      </w:pPr>
      <w:r>
        <w:rPr>
          <w:rFonts w:ascii="Times New Roman" w:hAnsi="Times New Roman" w:cs="Times New Roman" w:eastAsia="Times New Roman"/>
          <w:color w:val="000000"/>
          <w:sz w:val="24"/>
          <w:highlight w:val="none"/>
        </w:rPr>
        <w:t xml:space="preserve">Dirigente del Dipartimento Finanziario</w:t>
      </w:r>
      <w:r>
        <w:rPr>
          <w:rFonts w:ascii="Times New Roman" w:hAnsi="Times New Roman" w:cs="Times New Roman" w:eastAsia="Times New Roman"/>
          <w:color w:val="000000"/>
          <w:sz w:val="24"/>
          <w:highlight w:val="none"/>
        </w:rPr>
      </w:r>
      <w:r/>
    </w:p>
    <w:p>
      <w:pPr>
        <w:pStyle w:val="742"/>
        <w:rPr>
          <w:highlight w:val="none"/>
        </w:rPr>
      </w:pPr>
      <w:r>
        <w:rPr>
          <w:rFonts w:ascii="Times New Roman" w:hAnsi="Times New Roman" w:cs="Times New Roman" w:eastAsia="Times New Roman"/>
          <w:color w:val="000000"/>
          <w:sz w:val="24"/>
        </w:rPr>
        <w:t xml:space="preserve">Dott.ssa Anna Tiberi </w:t>
      </w:r>
      <w:r/>
    </w:p>
    <w:p>
      <w:pPr>
        <w:pStyle w:val="742"/>
        <w:rPr>
          <w:rFonts w:ascii="Times New Roman" w:hAnsi="Times New Roman" w:cs="Times New Roman" w:eastAsia="Times New Roman"/>
          <w:color w:val="000000"/>
          <w:sz w:val="24"/>
          <w:highlight w:val="none"/>
        </w:rPr>
      </w:pPr>
      <w:r>
        <w:rPr>
          <w:highlight w:val="none"/>
        </w:rPr>
      </w:r>
      <w:r>
        <w:rPr>
          <w:highlight w:val="none"/>
        </w:rPr>
      </w:r>
      <w:r/>
    </w:p>
    <w:p>
      <w:pPr>
        <w:ind w:left="0" w:right="0" w:firstLine="0"/>
        <w:jc w:val="both"/>
        <w:spacing w:before="0" w:after="160" w:line="235" w:lineRule="atLeast"/>
        <w:rPr>
          <w:rFonts w:ascii="Times New Roman" w:hAnsi="Times New Roman" w:cs="Times New Roman" w:eastAsia="Times New Roman"/>
          <w:color w:val="000000"/>
          <w:sz w:val="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ACQUISITO il parere favorevole dell'Organo di revisione, reso ai sensi dell'art. 239, comma 1, lett. b), punto 7), decreto legislativo 18 agosto 2000, n. 267.  </w:t>
      </w:r>
      <w:r>
        <w:rPr>
          <w:rFonts w:ascii="Times New Roman" w:hAnsi="Times New Roman" w:cs="Times New Roman" w:eastAsia="Times New Roman"/>
          <w:color w:val="000000"/>
          <w:sz w:val="24"/>
        </w:rPr>
      </w:r>
      <w:r/>
    </w:p>
    <w:p>
      <w:pPr>
        <w:ind w:left="0" w:right="0" w:firstLine="0"/>
        <w:jc w:val="center"/>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none"/>
        </w:rPr>
      </w:r>
      <w:r>
        <w:rPr>
          <w:rFonts w:ascii="Times New Roman" w:hAnsi="Times New Roman" w:cs="Times New Roman" w:eastAsia="Times New Roman"/>
          <w:color w:val="000000"/>
          <w:sz w:val="24"/>
          <w:highlight w:val="none"/>
        </w:rPr>
      </w:r>
      <w:r/>
    </w:p>
    <w:p>
      <w:pPr>
        <w:ind w:left="0" w:right="0" w:firstLine="0"/>
        <w:jc w:val="center"/>
        <w:spacing w:before="0" w:after="160" w:line="235" w:lineRule="atLeast"/>
        <w:rPr>
          <w:rFonts w:ascii="Times New Roman" w:hAnsi="Times New Roman" w:cs="Times New Roman" w:eastAsia="Times New Roman"/>
          <w:color w:val="000000"/>
          <w:sz w:val="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 E L I B E R A </w:t>
      </w:r>
      <w:r>
        <w:rPr>
          <w:rFonts w:ascii="Times New Roman" w:hAnsi="Times New Roman" w:cs="Times New Roman" w:eastAsia="Times New Roman"/>
          <w:color w:val="000000"/>
          <w:sz w:val="24"/>
          <w:highlight w:val="none"/>
        </w:rPr>
      </w:r>
      <w:r/>
    </w:p>
    <w:p>
      <w:pPr>
        <w:ind w:left="0" w:right="0" w:firstLine="0"/>
        <w:jc w:val="both"/>
        <w:spacing w:before="0" w:after="160" w:line="235" w:lineRule="atLeast"/>
        <w:rPr>
          <w:rFonts w:ascii="Times New Roman" w:hAnsi="Times New Roman" w:cs="Times New Roman" w:eastAsia="Times New Roman"/>
          <w:color w:val="000000"/>
          <w:sz w:val="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none"/>
        </w:rPr>
      </w:r>
      <w:r>
        <w:rPr>
          <w:rFonts w:ascii="Times New Roman" w:hAnsi="Times New Roman" w:cs="Times New Roman" w:eastAsia="Times New Roman"/>
          <w:color w:val="000000"/>
          <w:sz w:val="24"/>
          <w:highlight w:val="none"/>
        </w:rPr>
      </w:r>
      <w:r/>
    </w:p>
    <w:p>
      <w:pPr>
        <w:ind w:left="0" w:right="0" w:firstLine="0"/>
        <w:jc w:val="both"/>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1.</w:t>
      </w:r>
      <w:r>
        <w:rPr>
          <w:rFonts w:ascii="Times New Roman" w:hAnsi="Times New Roman" w:cs="Times New Roman" w:eastAsia="Times New Roman"/>
          <w:color w:val="000000"/>
          <w:sz w:val="24"/>
        </w:rPr>
        <w:t xml:space="preserve"> di approvare, ai sensi dell’articolo 10-quinquies, decreto-legge 27 marzo 2026, n. 38, l’adesione alla definizione agevolata di cui all’articolo 1, commi da 82 a 101, legge 30 dicembre 2025, n. 199, così come integrata dal citato articolo 10-q</w:t>
      </w:r>
      <w:r>
        <w:rPr>
          <w:rFonts w:ascii="Times New Roman" w:hAnsi="Times New Roman" w:cs="Times New Roman" w:eastAsia="Times New Roman"/>
          <w:color w:val="000000"/>
          <w:sz w:val="24"/>
        </w:rPr>
        <w:t xml:space="preserve">uinquies.  </w:t>
      </w:r>
      <w:r>
        <w:rPr>
          <w:rFonts w:ascii="Times New Roman" w:hAnsi="Times New Roman" w:cs="Times New Roman" w:eastAsia="Times New Roman"/>
          <w:color w:val="000000"/>
          <w:sz w:val="24"/>
          <w:highlight w:val="none"/>
        </w:rPr>
      </w:r>
      <w:r/>
    </w:p>
    <w:p>
      <w:pPr>
        <w:ind w:left="0" w:right="0" w:firstLine="0"/>
        <w:jc w:val="both"/>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2. di inviare copia del presente atto all’agente della riscossione entro il 31 luglio 2026.</w:t>
      </w:r>
      <w:r>
        <w:rPr>
          <w:rFonts w:ascii="Times New Roman" w:hAnsi="Times New Roman" w:cs="Times New Roman" w:eastAsia="Times New Roman"/>
          <w:color w:val="000000"/>
          <w:sz w:val="24"/>
          <w:highlight w:val="none"/>
        </w:rPr>
      </w:r>
      <w:r/>
    </w:p>
    <w:p>
      <w:pPr>
        <w:ind w:left="0" w:right="0" w:firstLine="0"/>
        <w:jc w:val="both"/>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3. di dare atto che la presente deliberazione acquista efficacia con la pubblicazione sul sito internet istituzionale dell’ente che dovrà avvenire entro il 31 luglio</w:t>
      </w:r>
      <w:r>
        <w:rPr>
          <w:rFonts w:ascii="Times New Roman" w:hAnsi="Times New Roman" w:cs="Times New Roman" w:eastAsia="Times New Roman"/>
          <w:color w:val="000000"/>
          <w:sz w:val="24"/>
        </w:rPr>
        <w:t xml:space="preserve"> 2026.</w:t>
      </w:r>
      <w:r>
        <w:rPr>
          <w:rFonts w:ascii="Times New Roman" w:hAnsi="Times New Roman" w:cs="Times New Roman" w:eastAsia="Times New Roman"/>
          <w:color w:val="000000"/>
          <w:sz w:val="24"/>
          <w:highlight w:val="none"/>
        </w:rPr>
      </w:r>
      <w:r/>
    </w:p>
    <w:p>
      <w:pPr>
        <w:ind w:left="0" w:right="0" w:firstLine="0"/>
        <w:jc w:val="both"/>
        <w:spacing w:before="0" w:after="160" w:line="235" w:lineRule="atLeast"/>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4. di inviare, ai soli fini statistici, la presente deliberazione entro il 30 settembre 2026 al Ministero dell’economia e delle finanze, Dipartimento delle finanze.</w:t>
      </w:r>
      <w:r>
        <w:rPr>
          <w:rFonts w:ascii="Times New Roman" w:hAnsi="Times New Roman" w:cs="Times New Roman" w:eastAsia="Times New Roman"/>
          <w:color w:val="000000"/>
          <w:sz w:val="24"/>
          <w:highlight w:val="none"/>
        </w:rPr>
      </w:r>
      <w:r/>
    </w:p>
    <w:p>
      <w:pPr>
        <w:ind w:left="0" w:right="0" w:firstLine="0"/>
        <w:jc w:val="both"/>
        <w:spacing w:before="0" w:after="160" w:line="235" w:lineRule="atLeast"/>
        <w:rPr>
          <w:rFonts w:ascii="Times New Roman" w:hAnsi="Times New Roman" w:cs="Times New Roman" w:eastAsia="Times New Roman"/>
          <w:color w:val="000000"/>
          <w:sz w:val="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5. di dichiarare l’immediata esecutività della presente deliberazione, in consideraz</w:t>
      </w:r>
      <w:r>
        <w:rPr>
          <w:rFonts w:ascii="Times New Roman" w:hAnsi="Times New Roman" w:cs="Times New Roman" w:eastAsia="Times New Roman"/>
          <w:color w:val="000000"/>
          <w:sz w:val="24"/>
        </w:rPr>
        <w:t xml:space="preserve">ione del ristretto termine previsto per l’invio all’Agente della riscossione e per la pubblicazione sul sito internet istituzionale del Comune.</w:t>
      </w:r>
      <w:r/>
    </w:p>
    <w:p>
      <w:pPr>
        <w:jc w:val="center"/>
        <w:rPr>
          <w:rFonts w:ascii="Arial" w:hAnsi="Arial" w:cs="Arial" w:eastAsia="Arial"/>
          <w:b/>
          <w:bCs/>
          <w:sz w:val="24"/>
          <w:szCs w:val="24"/>
          <w:highlight w:val="none"/>
        </w:rPr>
      </w:pPr>
      <w:r>
        <w:rPr>
          <w:rFonts w:ascii="Arial" w:hAnsi="Arial" w:cs="Arial" w:eastAsia="Arial"/>
          <w:b/>
          <w:bCs/>
          <w:sz w:val="24"/>
          <w:szCs w:val="24"/>
          <w:highlight w:val="none"/>
        </w:rPr>
      </w:r>
      <w:r>
        <w:rPr>
          <w:rFonts w:ascii="Arial" w:hAnsi="Arial" w:cs="Arial" w:eastAsia="Arial"/>
          <w:b/>
          <w:bCs/>
          <w:sz w:val="24"/>
          <w:szCs w:val="24"/>
          <w:highlight w:val="none"/>
        </w:rPr>
      </w:r>
      <w:r/>
    </w:p>
    <w:p>
      <w:pPr>
        <w:jc w:val="center"/>
        <w:rPr>
          <w:rFonts w:ascii="Arial" w:hAnsi="Arial" w:cs="Arial" w:eastAsia="Arial"/>
          <w:b/>
          <w:bCs/>
          <w:sz w:val="24"/>
          <w:szCs w:val="24"/>
          <w:highlight w:val="none"/>
        </w:rPr>
      </w:pPr>
      <w:r>
        <w:rPr>
          <w:rFonts w:ascii="Arial" w:hAnsi="Arial" w:cs="Arial" w:eastAsia="Arial"/>
          <w:b/>
          <w:bCs/>
          <w:sz w:val="24"/>
          <w:szCs w:val="24"/>
          <w:highlight w:val="none"/>
        </w:rPr>
      </w:r>
      <w:r>
        <w:rPr>
          <w:rFonts w:ascii="Arial" w:hAnsi="Arial" w:cs="Arial" w:eastAsia="Arial"/>
          <w:b/>
          <w:bCs/>
          <w:sz w:val="24"/>
          <w:szCs w:val="24"/>
          <w:highlight w:val="none"/>
        </w:rPr>
      </w:r>
      <w:r/>
    </w:p>
    <w:p>
      <w:pPr>
        <w:jc w:val="center"/>
        <w:rPr>
          <w:rFonts w:ascii="Arial" w:hAnsi="Arial" w:cs="Arial" w:eastAsia="Arial"/>
          <w:b/>
          <w:bCs/>
          <w:sz w:val="24"/>
          <w:szCs w:val="24"/>
          <w:highlight w:val="none"/>
        </w:rPr>
      </w:pPr>
      <w:r>
        <w:rPr>
          <w:rFonts w:ascii="Arial" w:hAnsi="Arial" w:cs="Arial" w:eastAsia="Arial"/>
          <w:b/>
          <w:bCs/>
          <w:sz w:val="24"/>
          <w:szCs w:val="24"/>
          <w:highlight w:val="none"/>
        </w:rPr>
      </w:r>
      <w:r>
        <w:rPr>
          <w:rFonts w:ascii="Arial" w:hAnsi="Arial" w:cs="Arial" w:eastAsia="Arial"/>
          <w:b/>
          <w:bCs/>
          <w:sz w:val="24"/>
          <w:szCs w:val="24"/>
          <w:highlight w:val="none"/>
        </w:rPr>
      </w:r>
      <w:r/>
    </w:p>
    <w:p>
      <w:pPr>
        <w:jc w:val="center"/>
      </w:pPr>
      <w:r>
        <w:rPr>
          <w:rFonts w:ascii="Arial" w:hAnsi="Arial" w:cs="Arial" w:eastAsia="Arial"/>
          <w:b/>
          <w:sz w:val="24"/>
          <w:highlight w:val="none"/>
        </w:rPr>
      </w:r>
      <w:r>
        <w:rPr>
          <w:rFonts w:ascii="Arial" w:hAnsi="Arial" w:cs="Arial" w:eastAsia="Arial"/>
          <w:b/>
          <w:sz w:val="24"/>
          <w:highlight w:val="none"/>
        </w:rPr>
      </w:r>
      <w:r/>
    </w:p>
    <w:p>
      <w:pPr>
        <w:jc w:val="center"/>
      </w:pPr>
      <w:r>
        <w:rPr>
          <w:rFonts w:ascii="Arial" w:hAnsi="Arial" w:cs="Arial" w:eastAsia="Arial"/>
          <w:b/>
          <w:sz w:val="24"/>
          <w:highlight w:val="none"/>
        </w:rPr>
        <w:t xml:space="preserve">***</w:t>
      </w:r>
      <w:r>
        <w:rPr>
          <w:rFonts w:ascii="Arial" w:hAnsi="Arial" w:cs="Arial" w:eastAsia="Arial"/>
          <w:b/>
          <w:sz w:val="24"/>
          <w:highlight w:val="none"/>
        </w:rPr>
      </w:r>
      <w:r/>
    </w:p>
    <w:p>
      <w:pPr>
        <w:jc w:val="left"/>
        <w:rPr>
          <w:bCs/>
          <w:i/>
          <w:sz w:val="20"/>
          <w:szCs w:val="20"/>
        </w:rPr>
      </w:pPr>
      <w:r>
        <w:rPr>
          <w:rFonts w:ascii="Arial" w:hAnsi="Arial" w:cs="Arial" w:eastAsia="Arial"/>
          <w:b/>
          <w:i/>
          <w:iCs/>
          <w:sz w:val="20"/>
          <w:szCs w:val="20"/>
          <w:highlight w:val="none"/>
        </w:rPr>
        <w:t xml:space="preserve">A</w:t>
      </w:r>
      <w:r>
        <w:rPr>
          <w:rFonts w:ascii="Arial" w:hAnsi="Arial" w:cs="Arial" w:eastAsia="Arial"/>
          <w:b/>
          <w:i/>
          <w:iCs/>
          <w:sz w:val="20"/>
          <w:szCs w:val="20"/>
          <w:highlight w:val="none"/>
        </w:rPr>
        <w:t xml:space="preserve">i sensi dell’art.35 del Regolamento del Consiglio Comunale, le sedute pubbliche del Consiglio Comunale vengono riprese e trasmesse via web e sono integralmente registrate su supporto digitale. Dette registrazioni sono consultabili attraverso il sito Intern</w:t>
      </w:r>
      <w:r>
        <w:rPr>
          <w:rFonts w:ascii="Arial" w:hAnsi="Arial" w:cs="Arial" w:eastAsia="Arial"/>
          <w:b/>
          <w:i/>
          <w:iCs/>
          <w:sz w:val="20"/>
          <w:szCs w:val="20"/>
          <w:highlight w:val="none"/>
        </w:rPr>
        <w:t xml:space="preserve">et del Comune.</w:t>
      </w:r>
      <w:r>
        <w:rPr>
          <w:bCs/>
          <w:i/>
          <w:sz w:val="20"/>
          <w:szCs w:val="20"/>
        </w:rPr>
      </w:r>
      <w:r/>
    </w:p>
    <w:p>
      <w:pPr>
        <w:jc w:val="center"/>
        <w:rPr>
          <w:rFonts w:ascii="Arial" w:hAnsi="Arial" w:cs="Arial" w:eastAsia="Arial"/>
          <w:b/>
          <w:bCs/>
          <w:sz w:val="24"/>
          <w:szCs w:val="24"/>
          <w:highlight w:val="none"/>
        </w:rPr>
      </w:pPr>
      <w:r>
        <w:rPr>
          <w:rFonts w:ascii="Arial" w:hAnsi="Arial" w:cs="Arial" w:eastAsia="Arial"/>
          <w:b/>
          <w:sz w:val="24"/>
          <w:highlight w:val="none"/>
        </w:rPr>
        <w:t xml:space="preserve">***</w:t>
      </w:r>
      <w:r>
        <w:rPr>
          <w:rFonts w:ascii="Arial" w:hAnsi="Arial" w:cs="Arial" w:eastAsia="Arial"/>
          <w:b/>
          <w:bCs/>
          <w:sz w:val="24"/>
          <w:szCs w:val="24"/>
          <w:highlight w:val="none"/>
        </w:rPr>
      </w:r>
      <w:r/>
    </w:p>
    <w:sectPr>
      <w:headerReference w:type="default" r:id="rId9"/>
      <w:footerReference w:type="default" r:id="rId10"/>
      <w:footnotePr/>
      <w:endnotePr/>
      <w:type w:val="nextPage"/>
      <w:pgSz w:w="11906" w:h="16838" w:orient="portrait"/>
      <w:pgMar w:top="1134" w:right="1134" w:bottom="1134" w:left="1134" w:header="0" w:footer="0"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Times New Roman">
    <w:panose1 w:val="02020603050405020304"/>
  </w:font>
  <w:font w:name="Symbol">
    <w:panose1 w:val="05010000000000000000"/>
  </w:font>
  <w:font w:name="Wingdings">
    <w:panose1 w:val="05010000000000000000"/>
  </w:font>
  <w:font w:name="Arial">
    <w:panose1 w:val="020B0604020202020204"/>
  </w:font>
  <w:font w:name="SimSun">
    <w:panose1 w:val="02020603020101020101"/>
  </w:font>
  <w:font w:name="Courier New">
    <w:panose1 w:val="02070309020205020404"/>
  </w:font>
  <w:font w:name="Mangal">
    <w:panose1 w:val="02020603050405020304"/>
  </w:font>
  <w:font w:name="Liberation Serif">
    <w:panose1 w:val="02020603050405020304"/>
  </w:font>
  <w:font w:name="Calibri">
    <w:panose1 w:val="020F050202020403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000000"/>
        <w:sz w:val="18"/>
        <w:highlight w:val="none"/>
      </w:rPr>
    </w:r>
    <w:r/>
  </w:p>
  <w:p>
    <w:pPr>
      <w:ind w:left="0" w:right="0" w:firstLine="0"/>
      <w:jc w:val="left"/>
      <w:spacing w:before="0" w:after="0"/>
      <w:rPr>
        <w:rFonts w:ascii="Arial" w:hAnsi="Arial" w:cs="Arial" w:eastAsia="Arial"/>
        <w:color w:val="000000"/>
        <w:highlight w:val="none"/>
      </w:rPr>
      <w:pBdr>
        <w:top w:val="none" w:color="000000" w:sz="4" w:space="0"/>
        <w:left w:val="none" w:color="000000" w:sz="4" w:space="0"/>
        <w:bottom w:val="none" w:color="000000" w:sz="4" w:space="0"/>
        <w:right w:val="none" w:color="000000" w:sz="4" w:space="0"/>
      </w:pBdr>
    </w:pPr>
    <w:r>
      <w:rPr>
        <w:rFonts w:ascii="Arial" w:hAnsi="Arial" w:cs="Arial" w:eastAsia="Arial"/>
        <w:color w:val="000000"/>
        <w:sz w:val="18"/>
      </w:rPr>
      <w:t xml:space="preserve">Proposta di </w:t>
    </w:r>
    <w:r>
      <w:rPr>
        <w:rFonts w:ascii="Arial" w:hAnsi="Arial" w:cs="Arial" w:eastAsia="Arial"/>
        <w:color w:val="000000"/>
        <w:sz w:val="18"/>
      </w:rPr>
      <w:t xml:space="preserve">Delibera di Consiglio</w:t>
    </w:r>
    <w:r>
      <w:rPr>
        <w:rFonts w:ascii="Arial" w:hAnsi="Arial" w:cs="Arial" w:eastAsia="Arial"/>
        <w:color w:val="000000"/>
        <w:sz w:val="18"/>
      </w:rPr>
      <w:t xml:space="preserve"> n. 724 del 22/06/2026</w:t>
    </w:r>
    <w:r>
      <w:rPr>
        <w:rFonts w:ascii="Arial" w:hAnsi="Arial" w:cs="Arial" w:eastAsia="Arial"/>
        <w:color w:val="000000"/>
        <w:highlight w:val="none"/>
      </w:rPr>
    </w:r>
    <w:r/>
  </w:p>
  <w:p>
    <w:pPr>
      <w:pStyle w:val="745"/>
      <w:jc w:val="right"/>
      <w:rPr>
        <w:rFonts w:ascii="Arial" w:hAnsi="Arial" w:cs="Arial" w:eastAsia="Arial"/>
        <w:highlight w:val="none"/>
      </w:rPr>
    </w:pPr>
    <w:r>
      <w:rPr>
        <w:rFonts w:ascii="Arial" w:hAnsi="Arial" w:cs="Arial" w:eastAsia="Arial"/>
        <w:sz w:val="18"/>
      </w:rPr>
      <w:t xml:space="preserve">Pag. </w:t>
    </w:r>
    <w:fldSimple w:instr="PAGE \* MERGEFORMAT">
      <w:r>
        <w:rPr>
          <w:rFonts w:ascii="Arial" w:hAnsi="Arial" w:cs="Arial" w:eastAsia="Arial"/>
          <w:sz w:val="18"/>
        </w:rPr>
        <w:t xml:space="preserve">1</w:t>
      </w:r>
    </w:fldSimple>
    <w:r>
      <w:rPr>
        <w:rFonts w:ascii="Arial" w:hAnsi="Arial" w:cs="Arial" w:eastAsia="Arial"/>
        <w:sz w:val="18"/>
      </w:rPr>
    </w:r>
    <w:r>
      <w:rPr>
        <w:rFonts w:ascii="Arial" w:hAnsi="Arial" w:cs="Arial" w:eastAsia="Arial"/>
        <w:highlight w:val="none"/>
      </w:rPr>
    </w:r>
    <w:r/>
  </w:p>
  <w:p>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3"/>
    </w:pPr>
    <w:r/>
    <w:r/>
  </w:p>
  <w:p>
    <w:r>
      <w:rPr>
        <w:rFonts w:ascii="Times New Roman" w:hAnsi="Times New Roman" w:cs="Times New Roman" w:eastAsia="Times New Roman"/>
        <w:lang w:bidi="ar-SA" w:eastAsia="it-IT"/>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-226695</wp:posOffset>
              </wp:positionH>
              <wp:positionV relativeFrom="paragraph">
                <wp:posOffset>-144145</wp:posOffset>
              </wp:positionV>
              <wp:extent cx="1444625" cy="1776730"/>
              <wp:effectExtent l="0" t="0" r="0" b="0"/>
              <wp:wrapNone/>
              <wp:docPr id="1" name="Immagine 1" descr="logo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0020" name="Immagine 1" descr="logo1" hidden="0"/>
                      <pic:cNvPicPr>
                        <a:picLocks noChangeAspect="1"/>
                      </pic:cNvPicPr>
                      <pic:nvPr isPhoto="0" userDrawn="0"/>
                    </pic:nvPicPr>
                    <pic:blipFill>
                      <a:blip r:embed="rId1"/>
                      <a:stretch/>
                    </pic:blipFill>
                    <pic:spPr bwMode="auto">
                      <a:xfrm rot="0" flipH="0" flipV="0">
                        <a:off x="0" y="0"/>
                        <a:ext cx="1444624" cy="1776729"/>
                      </a:xfrm>
                      <a:prstGeom prst="rect">
                        <a:avLst/>
                      </a:prstGeom>
                      <a:noFill/>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9264;o:allowoverlap:true;o:allowincell:true;mso-position-horizontal-relative:text;margin-left:-17.8pt;mso-position-horizontal:absolute;mso-position-vertical-relative:text;margin-top:-11.3pt;mso-position-vertical:absolute;width:113.8pt;height:139.9pt;rotation:0;" stroked="false">
              <v:path textboxrect="0,0,0,0"/>
              <v:imagedata r:id="rId1" o:title=""/>
            </v:shape>
          </w:pict>
        </mc:Fallback>
      </mc:AlternateContent>
    </w:r>
    <w:r/>
  </w:p>
  <w:p>
    <w:pPr>
      <w:pStyle w:val="786"/>
    </w:pPr>
    <w:r/>
    <w:r/>
  </w:p>
  <w:p>
    <w:r/>
    <w:r/>
  </w:p>
  <w:p>
    <w:r/>
    <w:r/>
  </w:p>
  <w:p>
    <w:r/>
    <w:r/>
  </w:p>
  <w:p>
    <w:r/>
    <w:r/>
  </w:p>
  <w:p>
    <w:r/>
    <w:r/>
  </w:p>
  <w:p>
    <w:r/>
    <w:r/>
  </w:p>
  <w:p>
    <w:r/>
    <w:r/>
  </w:p>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09" w:hanging="360"/>
      </w:pPr>
      <w:rPr>
        <w:rFonts w:ascii="Arial" w:hAnsi="Arial" w:cs="Arial" w:eastAsia="Aria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abstractNum w:abstractNumId="1">
    <w:multiLevelType w:val="hybridMultilevel"/>
    <w:lvl w:ilvl="0">
      <w:start w:val="1"/>
      <w:numFmt w:val="bullet"/>
      <w:isLgl w:val="false"/>
      <w:suff w:val="tab"/>
      <w:lvlText w:val="–"/>
      <w:lvlJc w:val="left"/>
      <w:pPr>
        <w:ind w:left="709" w:hanging="360"/>
      </w:pPr>
      <w:rPr>
        <w:rFonts w:ascii="Arial" w:hAnsi="Arial" w:cs="Arial" w:eastAsia="Aria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abstractNum w:abstractNumId="2">
    <w:multiLevelType w:val="hybridMultilevel"/>
    <w:lvl w:ilvl="0">
      <w:start w:val="1"/>
      <w:numFmt w:val="bullet"/>
      <w:isLgl w:val="false"/>
      <w:suff w:val="tab"/>
      <w:lvlText w:val="–"/>
      <w:lvlJc w:val="left"/>
      <w:pPr>
        <w:ind w:left="709" w:hanging="360"/>
      </w:pPr>
      <w:rPr>
        <w:rFonts w:ascii="Arial" w:hAnsi="Arial" w:cs="Arial" w:eastAsia="Aria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abstractNum w:abstractNumId="3">
    <w:multiLevelType w:val="hybridMultilevel"/>
    <w:lvl w:ilvl="0">
      <w:start w:val="1"/>
      <w:numFmt w:val="bullet"/>
      <w:isLgl w:val="false"/>
      <w:suff w:val="tab"/>
      <w:lvlText w:val="–"/>
      <w:lvlJc w:val="left"/>
      <w:pPr>
        <w:ind w:left="709" w:hanging="360"/>
      </w:pPr>
      <w:rPr>
        <w:rFonts w:ascii="Arial" w:hAnsi="Arial" w:cs="Arial" w:eastAsia="Aria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abstractNum w:abstractNumId="4">
    <w:multiLevelType w:val="hybridMultilevel"/>
    <w:lvl w:ilvl="0">
      <w:start w:val="1"/>
      <w:numFmt w:val="bullet"/>
      <w:isLgl w:val="false"/>
      <w:suff w:val="tab"/>
      <w:lvlText w:val="–"/>
      <w:lvlJc w:val="left"/>
      <w:pPr>
        <w:ind w:left="709" w:hanging="360"/>
      </w:pPr>
      <w:rPr>
        <w:rFonts w:ascii="Arial" w:hAnsi="Arial" w:cs="Arial" w:eastAsia="Aria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abstractNum w:abstractNumId="5">
    <w:multiLevelType w:val="hybridMultilevel"/>
    <w:lvl w:ilvl="0">
      <w:start w:val="1"/>
      <w:numFmt w:val="bullet"/>
      <w:isLgl w:val="false"/>
      <w:suff w:val="tab"/>
      <w:lvlText w:val="–"/>
      <w:lvlJc w:val="left"/>
      <w:pPr>
        <w:ind w:left="709" w:hanging="360"/>
      </w:pPr>
      <w:rPr>
        <w:rFonts w:ascii="Arial" w:hAnsi="Arial" w:cs="Arial" w:eastAsia="Aria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hAnsi="Liberation Serif" w:cs="Mangal" w:eastAsia="SimSun" w:hint="default"/>
        <w:sz w:val="24"/>
        <w:szCs w:val="24"/>
        <w:lang w:val="it-IT" w:bidi="hi-IN" w:eastAsia="zh-C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
    <w:name w:val="Normal"/>
    <w:qFormat/>
  </w:style>
  <w:style w:type="character" w:styleId="9">
    <w:name w:val="Default Paragraph Font"/>
    <w:uiPriority w:val="1"/>
    <w:semiHidden/>
    <w:unhideWhenUsed/>
  </w:style>
  <w:style w:type="numbering" w:styleId="10">
    <w:name w:val="No List"/>
    <w:uiPriority w:val="99"/>
    <w:semiHidden/>
    <w:unhideWhenUsed/>
  </w:style>
  <w:style w:type="paragraph" w:styleId="11">
    <w:name w:val="Heading 1"/>
    <w:basedOn w:val="8"/>
    <w:next w:val="8"/>
    <w:link w:val="12"/>
    <w:uiPriority w:val="9"/>
    <w:qFormat/>
    <w:pPr>
      <w:keepLines/>
      <w:keepNext/>
      <w:spacing w:before="480" w:after="200"/>
      <w:outlineLvl w:val="0"/>
    </w:pPr>
    <w:rPr>
      <w:rFonts w:ascii="Arial" w:hAnsi="Arial" w:cs="Arial" w:eastAsia="Arial"/>
      <w:sz w:val="40"/>
      <w:szCs w:val="40"/>
    </w:rPr>
  </w:style>
  <w:style w:type="character" w:styleId="12">
    <w:name w:val="Heading 1 Char"/>
    <w:basedOn w:val="9"/>
    <w:link w:val="11"/>
    <w:uiPriority w:val="9"/>
    <w:rPr>
      <w:rFonts w:ascii="Arial" w:hAnsi="Arial" w:cs="Arial" w:eastAsia="Arial"/>
      <w:sz w:val="40"/>
      <w:szCs w:val="40"/>
    </w:rPr>
  </w:style>
  <w:style w:type="paragraph" w:styleId="13">
    <w:name w:val="Heading 2"/>
    <w:basedOn w:val="8"/>
    <w:next w:val="8"/>
    <w:link w:val="14"/>
    <w:uiPriority w:val="9"/>
    <w:unhideWhenUsed/>
    <w:qFormat/>
    <w:pPr>
      <w:keepLines/>
      <w:keepNext/>
      <w:spacing w:before="360" w:after="200"/>
      <w:outlineLvl w:val="1"/>
    </w:pPr>
    <w:rPr>
      <w:rFonts w:ascii="Arial" w:hAnsi="Arial" w:cs="Arial" w:eastAsia="Arial"/>
      <w:sz w:val="34"/>
    </w:rPr>
  </w:style>
  <w:style w:type="character" w:styleId="14">
    <w:name w:val="Heading 2 Char"/>
    <w:basedOn w:val="9"/>
    <w:link w:val="13"/>
    <w:uiPriority w:val="9"/>
    <w:rPr>
      <w:rFonts w:ascii="Arial" w:hAnsi="Arial" w:cs="Arial" w:eastAsia="Arial"/>
      <w:sz w:val="34"/>
    </w:rPr>
  </w:style>
  <w:style w:type="paragraph" w:styleId="15">
    <w:name w:val="Heading 3"/>
    <w:basedOn w:val="8"/>
    <w:next w:val="8"/>
    <w:link w:val="16"/>
    <w:uiPriority w:val="9"/>
    <w:unhideWhenUsed/>
    <w:qFormat/>
    <w:pPr>
      <w:keepLines/>
      <w:keepNext/>
      <w:spacing w:before="320" w:after="200"/>
      <w:outlineLvl w:val="2"/>
    </w:pPr>
    <w:rPr>
      <w:rFonts w:ascii="Arial" w:hAnsi="Arial" w:cs="Arial" w:eastAsia="Arial"/>
      <w:sz w:val="30"/>
      <w:szCs w:val="30"/>
    </w:rPr>
  </w:style>
  <w:style w:type="character" w:styleId="16">
    <w:name w:val="Heading 3 Char"/>
    <w:basedOn w:val="9"/>
    <w:link w:val="15"/>
    <w:uiPriority w:val="9"/>
    <w:rPr>
      <w:rFonts w:ascii="Arial" w:hAnsi="Arial" w:cs="Arial" w:eastAsia="Arial"/>
      <w:sz w:val="30"/>
      <w:szCs w:val="30"/>
    </w:rPr>
  </w:style>
  <w:style w:type="paragraph" w:styleId="17">
    <w:name w:val="Heading 4"/>
    <w:basedOn w:val="8"/>
    <w:next w:val="8"/>
    <w:link w:val="18"/>
    <w:uiPriority w:val="9"/>
    <w:unhideWhenUsed/>
    <w:qFormat/>
    <w:pPr>
      <w:keepLines/>
      <w:keepNext/>
      <w:spacing w:before="320" w:after="200"/>
      <w:outlineLvl w:val="3"/>
    </w:pPr>
    <w:rPr>
      <w:rFonts w:ascii="Arial" w:hAnsi="Arial" w:cs="Arial" w:eastAsia="Arial"/>
      <w:b/>
      <w:bCs/>
      <w:sz w:val="26"/>
      <w:szCs w:val="26"/>
    </w:rPr>
  </w:style>
  <w:style w:type="character" w:styleId="18">
    <w:name w:val="Heading 4 Char"/>
    <w:basedOn w:val="9"/>
    <w:link w:val="17"/>
    <w:uiPriority w:val="9"/>
    <w:rPr>
      <w:rFonts w:ascii="Arial" w:hAnsi="Arial" w:cs="Arial" w:eastAsia="Arial"/>
      <w:b/>
      <w:bCs/>
      <w:sz w:val="26"/>
      <w:szCs w:val="26"/>
    </w:rPr>
  </w:style>
  <w:style w:type="paragraph" w:styleId="19">
    <w:name w:val="Heading 5"/>
    <w:basedOn w:val="8"/>
    <w:next w:val="8"/>
    <w:link w:val="20"/>
    <w:uiPriority w:val="9"/>
    <w:unhideWhenUsed/>
    <w:qFormat/>
    <w:pPr>
      <w:keepLines/>
      <w:keepNext/>
      <w:spacing w:before="320" w:after="200"/>
      <w:outlineLvl w:val="4"/>
    </w:pPr>
    <w:rPr>
      <w:rFonts w:ascii="Arial" w:hAnsi="Arial" w:cs="Arial" w:eastAsia="Arial"/>
      <w:b/>
      <w:bCs/>
      <w:sz w:val="24"/>
      <w:szCs w:val="24"/>
    </w:rPr>
  </w:style>
  <w:style w:type="character" w:styleId="20">
    <w:name w:val="Heading 5 Char"/>
    <w:basedOn w:val="9"/>
    <w:link w:val="19"/>
    <w:uiPriority w:val="9"/>
    <w:rPr>
      <w:rFonts w:ascii="Arial" w:hAnsi="Arial" w:cs="Arial" w:eastAsia="Arial"/>
      <w:b/>
      <w:bCs/>
      <w:sz w:val="24"/>
      <w:szCs w:val="24"/>
    </w:rPr>
  </w:style>
  <w:style w:type="paragraph" w:styleId="21">
    <w:name w:val="Heading 6"/>
    <w:basedOn w:val="8"/>
    <w:next w:val="8"/>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9"/>
    <w:link w:val="21"/>
    <w:uiPriority w:val="9"/>
    <w:rPr>
      <w:rFonts w:ascii="Arial" w:hAnsi="Arial" w:cs="Arial" w:eastAsia="Arial"/>
      <w:b/>
      <w:bCs/>
      <w:sz w:val="22"/>
      <w:szCs w:val="22"/>
    </w:rPr>
  </w:style>
  <w:style w:type="paragraph" w:styleId="23">
    <w:name w:val="Heading 7"/>
    <w:basedOn w:val="8"/>
    <w:next w:val="8"/>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9"/>
    <w:link w:val="23"/>
    <w:uiPriority w:val="9"/>
    <w:rPr>
      <w:rFonts w:ascii="Arial" w:hAnsi="Arial" w:cs="Arial" w:eastAsia="Arial"/>
      <w:b/>
      <w:bCs/>
      <w:i/>
      <w:iCs/>
      <w:sz w:val="22"/>
      <w:szCs w:val="22"/>
    </w:rPr>
  </w:style>
  <w:style w:type="paragraph" w:styleId="25">
    <w:name w:val="Heading 8"/>
    <w:basedOn w:val="8"/>
    <w:next w:val="8"/>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9"/>
    <w:link w:val="25"/>
    <w:uiPriority w:val="9"/>
    <w:rPr>
      <w:rFonts w:ascii="Arial" w:hAnsi="Arial" w:cs="Arial" w:eastAsia="Arial"/>
      <w:i/>
      <w:iCs/>
      <w:sz w:val="22"/>
      <w:szCs w:val="22"/>
    </w:rPr>
  </w:style>
  <w:style w:type="paragraph" w:styleId="27">
    <w:name w:val="Heading 9"/>
    <w:basedOn w:val="8"/>
    <w:next w:val="8"/>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9"/>
    <w:link w:val="27"/>
    <w:uiPriority w:val="9"/>
    <w:rPr>
      <w:rFonts w:ascii="Arial" w:hAnsi="Arial" w:cs="Arial" w:eastAsia="Arial"/>
      <w:i/>
      <w:iCs/>
      <w:sz w:val="21"/>
      <w:szCs w:val="21"/>
    </w:rPr>
  </w:style>
  <w:style w:type="paragraph" w:styleId="29">
    <w:name w:val="List Paragraph"/>
    <w:basedOn w:val="8"/>
    <w:uiPriority w:val="34"/>
    <w:qFormat/>
    <w:pPr>
      <w:contextualSpacing/>
      <w:ind w:left="720"/>
    </w:pPr>
  </w:style>
  <w:style w:type="table" w:styleId="30">
    <w:name w:val="Normal Table"/>
    <w:uiPriority w:val="99"/>
    <w:semiHidden/>
    <w:unhideWhenUsed/>
    <w:tblPr>
      <w:tblInd w:w="0" w:type="dxa"/>
      <w:tblCellMar>
        <w:left w:w="108" w:type="dxa"/>
        <w:top w:w="0" w:type="dxa"/>
        <w:right w:w="108" w:type="dxa"/>
        <w:bottom w:w="0" w:type="dxa"/>
      </w:tblCellMar>
    </w:tblPr>
  </w:style>
  <w:style w:type="paragraph" w:styleId="31">
    <w:name w:val="No Spacing"/>
    <w:uiPriority w:val="1"/>
    <w:qFormat/>
    <w:pPr>
      <w:spacing w:before="0" w:after="0" w:line="240" w:lineRule="auto"/>
    </w:pPr>
  </w:style>
  <w:style w:type="paragraph" w:styleId="32">
    <w:name w:val="Title"/>
    <w:basedOn w:val="8"/>
    <w:next w:val="8"/>
    <w:link w:val="33"/>
    <w:uiPriority w:val="10"/>
    <w:qFormat/>
    <w:pPr>
      <w:contextualSpacing/>
      <w:spacing w:before="300" w:after="200"/>
    </w:pPr>
    <w:rPr>
      <w:sz w:val="48"/>
      <w:szCs w:val="48"/>
    </w:rPr>
  </w:style>
  <w:style w:type="character" w:styleId="33">
    <w:name w:val="Title Char"/>
    <w:basedOn w:val="9"/>
    <w:link w:val="32"/>
    <w:uiPriority w:val="10"/>
    <w:rPr>
      <w:sz w:val="48"/>
      <w:szCs w:val="48"/>
    </w:rPr>
  </w:style>
  <w:style w:type="paragraph" w:styleId="34">
    <w:name w:val="Subtitle"/>
    <w:basedOn w:val="8"/>
    <w:next w:val="8"/>
    <w:link w:val="35"/>
    <w:uiPriority w:val="11"/>
    <w:qFormat/>
    <w:pPr>
      <w:spacing w:before="200" w:after="200"/>
    </w:pPr>
    <w:rPr>
      <w:sz w:val="24"/>
      <w:szCs w:val="24"/>
    </w:rPr>
  </w:style>
  <w:style w:type="character" w:styleId="35">
    <w:name w:val="Subtitle Char"/>
    <w:basedOn w:val="9"/>
    <w:link w:val="34"/>
    <w:uiPriority w:val="11"/>
    <w:rPr>
      <w:sz w:val="24"/>
      <w:szCs w:val="24"/>
    </w:rPr>
  </w:style>
  <w:style w:type="paragraph" w:styleId="36">
    <w:name w:val="Quote"/>
    <w:basedOn w:val="8"/>
    <w:next w:val="8"/>
    <w:link w:val="37"/>
    <w:uiPriority w:val="29"/>
    <w:qFormat/>
    <w:pPr>
      <w:ind w:left="720" w:right="720"/>
    </w:pPr>
    <w:rPr>
      <w:i/>
    </w:rPr>
  </w:style>
  <w:style w:type="character" w:styleId="37">
    <w:name w:val="Quote Char"/>
    <w:link w:val="36"/>
    <w:uiPriority w:val="29"/>
    <w:rPr>
      <w:i/>
    </w:rPr>
  </w:style>
  <w:style w:type="paragraph" w:styleId="38">
    <w:name w:val="Intense Quote"/>
    <w:basedOn w:val="8"/>
    <w:next w:val="8"/>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paragraph" w:styleId="40">
    <w:name w:val="Header"/>
    <w:basedOn w:val="8"/>
    <w:link w:val="41"/>
    <w:uiPriority w:val="99"/>
    <w:unhideWhenUsed/>
    <w:pPr>
      <w:spacing w:after="0" w:line="240" w:lineRule="auto"/>
      <w:tabs>
        <w:tab w:val="center" w:pos="7143" w:leader="none"/>
        <w:tab w:val="right" w:pos="14287" w:leader="none"/>
      </w:tabs>
    </w:pPr>
  </w:style>
  <w:style w:type="character" w:styleId="41">
    <w:name w:val="Header Char"/>
    <w:basedOn w:val="9"/>
    <w:link w:val="40"/>
    <w:uiPriority w:val="99"/>
  </w:style>
  <w:style w:type="paragraph" w:styleId="42">
    <w:name w:val="Footer"/>
    <w:basedOn w:val="8"/>
    <w:link w:val="45"/>
    <w:uiPriority w:val="99"/>
    <w:unhideWhenUsed/>
    <w:pPr>
      <w:spacing w:after="0" w:line="240" w:lineRule="auto"/>
      <w:tabs>
        <w:tab w:val="center" w:pos="7143" w:leader="none"/>
        <w:tab w:val="right" w:pos="14287" w:leader="none"/>
      </w:tabs>
    </w:pPr>
  </w:style>
  <w:style w:type="character" w:styleId="43">
    <w:name w:val="Footer Char"/>
    <w:basedOn w:val="9"/>
    <w:link w:val="42"/>
    <w:uiPriority w:val="99"/>
  </w:style>
  <w:style w:type="paragraph" w:styleId="44">
    <w:name w:val="Caption"/>
    <w:basedOn w:val="8"/>
    <w:next w:val="8"/>
    <w:uiPriority w:val="35"/>
    <w:semiHidden/>
    <w:unhideWhenUsed/>
    <w:qFormat/>
    <w:pPr>
      <w:spacing w:line="276" w:lineRule="auto"/>
    </w:pPr>
    <w:rPr>
      <w:b/>
      <w:bCs/>
      <w:color w:val="4F81BD" w:themeColor="accent1"/>
      <w:sz w:val="18"/>
      <w:szCs w:val="18"/>
    </w:rPr>
  </w:style>
  <w:style w:type="character" w:styleId="45">
    <w:name w:val="Caption Char"/>
    <w:basedOn w:val="44"/>
    <w:link w:val="42"/>
    <w:uiPriority w:val="99"/>
  </w:style>
  <w:style w:type="table" w:styleId="46">
    <w:name w:val="Table Grid"/>
    <w:basedOn w:val="3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7">
    <w:name w:val="Table Grid Light"/>
    <w:basedOn w:val="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
    <w:name w:val="Grid Table 5 Dark - Accent 2"/>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
    <w:name w:val="Grid Table 5 Dark - Accent 3"/>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
    <w:name w:val="Grid Table 5 Dark- Accent 4"/>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
    <w:name w:val="Grid Table 5 Dark - Accent 5"/>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
    <w:name w:val="Grid Table 5 Dark - Accent 6"/>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
    <w:name w:val="Grid Table 6 Colorful"/>
    <w:basedOn w:val="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3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3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3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3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3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3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8">
    <w:name w:val="List Table 3 - Accent 2"/>
    <w:basedOn w:val="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9">
    <w:name w:val="List Table 3 - Accent 3"/>
    <w:basedOn w:val="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0">
    <w:name w:val="List Table 3 - Accent 4"/>
    <w:basedOn w:val="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1">
    <w:name w:val="List Table 3 - Accent 5"/>
    <w:basedOn w:val="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2">
    <w:name w:val="List Table 3 - Accent 6"/>
    <w:basedOn w:val="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3">
    <w:name w:val="List Table 4"/>
    <w:basedOn w:val="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5">
    <w:name w:val="List Table 4 - Accent 2"/>
    <w:basedOn w:val="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6">
    <w:name w:val="List Table 4 - Accent 3"/>
    <w:basedOn w:val="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7">
    <w:name w:val="List Table 4 - Accent 4"/>
    <w:basedOn w:val="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8">
    <w:name w:val="List Table 4 - Accent 5"/>
    <w:basedOn w:val="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9">
    <w:name w:val="List Table 4 - Accent 6"/>
    <w:basedOn w:val="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0">
    <w:name w:val="List Table 5 Dark"/>
    <w:basedOn w:val="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9">
    <w:name w:val="List Table 6 Colorful - Accent 2"/>
    <w:basedOn w:val="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0">
    <w:name w:val="List Table 6 Colorful - Accent 3"/>
    <w:basedOn w:val="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1">
    <w:name w:val="List Table 6 Colorful - Accent 4"/>
    <w:basedOn w:val="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2">
    <w:name w:val="List Table 6 Colorful - Accent 5"/>
    <w:basedOn w:val="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3">
    <w:name w:val="List Table 6 Colorful - Accent 6"/>
    <w:basedOn w:val="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4">
    <w:name w:val="List Table 7 Colorful"/>
    <w:basedOn w:val="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6">
    <w:name w:val="List Table 7 Colorful - Accent 2"/>
    <w:basedOn w:val="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1">
    <w:name w:val="Lined - Accent"/>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3">
    <w:name w:val="Lined - Accent 2"/>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4">
    <w:name w:val="Lined - Accent 3"/>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5">
    <w:name w:val="Lined - Accent 4"/>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6">
    <w:name w:val="Lined - Accent 5"/>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7">
    <w:name w:val="Lined - Accent 6"/>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8">
    <w:name w:val="Bordered &amp; Lined - Accent"/>
    <w:basedOn w:val="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0">
    <w:name w:val="Bordered &amp; Lined - Accent 2"/>
    <w:basedOn w:val="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1">
    <w:name w:val="Bordered &amp; Lined - Accent 3"/>
    <w:basedOn w:val="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2">
    <w:name w:val="Bordered &amp; Lined - Accent 4"/>
    <w:basedOn w:val="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
    <w:name w:val="Bordered &amp; Lined - Accent 5"/>
    <w:basedOn w:val="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4">
    <w:name w:val="Bordered &amp; Lined - Accent 6"/>
    <w:basedOn w:val="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5">
    <w:name w:val="Bordered"/>
    <w:basedOn w:val="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2">
    <w:name w:val="Hyperlink"/>
    <w:uiPriority w:val="99"/>
    <w:unhideWhenUsed/>
    <w:rPr>
      <w:color w:val="0000FF" w:themeColor="hyperlink"/>
      <w:u w:val="single"/>
    </w:rPr>
  </w:style>
  <w:style w:type="paragraph" w:styleId="173">
    <w:name w:val="footnote text"/>
    <w:basedOn w:val="8"/>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9"/>
    <w:uiPriority w:val="99"/>
    <w:unhideWhenUsed/>
    <w:rPr>
      <w:vertAlign w:val="superscript"/>
    </w:rPr>
  </w:style>
  <w:style w:type="paragraph" w:styleId="176">
    <w:name w:val="endnote text"/>
    <w:basedOn w:val="8"/>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9"/>
    <w:uiPriority w:val="99"/>
    <w:semiHidden/>
    <w:unhideWhenUsed/>
    <w:rPr>
      <w:vertAlign w:val="superscript"/>
    </w:rPr>
  </w:style>
  <w:style w:type="paragraph" w:styleId="179">
    <w:name w:val="toc 1"/>
    <w:basedOn w:val="8"/>
    <w:next w:val="8"/>
    <w:uiPriority w:val="39"/>
    <w:unhideWhenUsed/>
    <w:pPr>
      <w:ind w:left="0" w:right="0" w:firstLine="0"/>
      <w:spacing w:after="57"/>
    </w:pPr>
  </w:style>
  <w:style w:type="paragraph" w:styleId="180">
    <w:name w:val="toc 2"/>
    <w:basedOn w:val="8"/>
    <w:next w:val="8"/>
    <w:uiPriority w:val="39"/>
    <w:unhideWhenUsed/>
    <w:pPr>
      <w:ind w:left="283" w:right="0" w:firstLine="0"/>
      <w:spacing w:after="57"/>
    </w:pPr>
  </w:style>
  <w:style w:type="paragraph" w:styleId="181">
    <w:name w:val="toc 3"/>
    <w:basedOn w:val="8"/>
    <w:next w:val="8"/>
    <w:uiPriority w:val="39"/>
    <w:unhideWhenUsed/>
    <w:pPr>
      <w:ind w:left="567" w:right="0" w:firstLine="0"/>
      <w:spacing w:after="57"/>
    </w:pPr>
  </w:style>
  <w:style w:type="paragraph" w:styleId="182">
    <w:name w:val="toc 4"/>
    <w:basedOn w:val="8"/>
    <w:next w:val="8"/>
    <w:uiPriority w:val="39"/>
    <w:unhideWhenUsed/>
    <w:pPr>
      <w:ind w:left="850" w:right="0" w:firstLine="0"/>
      <w:spacing w:after="57"/>
    </w:pPr>
  </w:style>
  <w:style w:type="paragraph" w:styleId="183">
    <w:name w:val="toc 5"/>
    <w:basedOn w:val="8"/>
    <w:next w:val="8"/>
    <w:uiPriority w:val="39"/>
    <w:unhideWhenUsed/>
    <w:pPr>
      <w:ind w:left="1134" w:right="0" w:firstLine="0"/>
      <w:spacing w:after="57"/>
    </w:pPr>
  </w:style>
  <w:style w:type="paragraph" w:styleId="184">
    <w:name w:val="toc 6"/>
    <w:basedOn w:val="8"/>
    <w:next w:val="8"/>
    <w:uiPriority w:val="39"/>
    <w:unhideWhenUsed/>
    <w:pPr>
      <w:ind w:left="1417" w:right="0" w:firstLine="0"/>
      <w:spacing w:after="57"/>
    </w:pPr>
  </w:style>
  <w:style w:type="paragraph" w:styleId="185">
    <w:name w:val="toc 7"/>
    <w:basedOn w:val="8"/>
    <w:next w:val="8"/>
    <w:uiPriority w:val="39"/>
    <w:unhideWhenUsed/>
    <w:pPr>
      <w:ind w:left="1701" w:right="0" w:firstLine="0"/>
      <w:spacing w:after="57"/>
    </w:pPr>
  </w:style>
  <w:style w:type="paragraph" w:styleId="186">
    <w:name w:val="toc 8"/>
    <w:basedOn w:val="8"/>
    <w:next w:val="8"/>
    <w:uiPriority w:val="39"/>
    <w:unhideWhenUsed/>
    <w:pPr>
      <w:ind w:left="1984" w:right="0" w:firstLine="0"/>
      <w:spacing w:after="57"/>
    </w:pPr>
  </w:style>
  <w:style w:type="paragraph" w:styleId="187">
    <w:name w:val="toc 9"/>
    <w:basedOn w:val="8"/>
    <w:next w:val="8"/>
    <w:uiPriority w:val="39"/>
    <w:unhideWhenUsed/>
    <w:pPr>
      <w:ind w:left="2268" w:right="0" w:firstLine="0"/>
      <w:spacing w:after="57"/>
    </w:pPr>
  </w:style>
  <w:style w:type="paragraph" w:styleId="188">
    <w:name w:val="TOC Heading"/>
    <w:uiPriority w:val="39"/>
    <w:unhideWhenUsed/>
  </w:style>
  <w:style w:type="paragraph" w:styleId="189">
    <w:name w:val="table of figures"/>
    <w:basedOn w:val="8"/>
    <w:next w:val="8"/>
    <w:uiPriority w:val="99"/>
    <w:unhideWhenUsed/>
    <w:pPr>
      <w:spacing w:after="0" w:afterAutospacing="0"/>
    </w:pPr>
  </w:style>
  <w:style w:type="paragraph" w:styleId="741">
    <w:name w:val="List Paragraph 5e6c35132276807736354ddc1945f34c"/>
    <w:basedOn w:val="758"/>
    <w:uiPriority w:val="34"/>
    <w:qFormat/>
    <w:pPr>
      <w:contextualSpacing/>
      <w:ind w:left="720"/>
    </w:pPr>
  </w:style>
  <w:style w:type="paragraph" w:styleId="742">
    <w:name w:val="No Spacing 5e6c35132276807736354ddc1945f34c"/>
    <w:uiPriority w:val="1"/>
    <w:qFormat/>
    <w:pPr>
      <w:spacing w:before="0" w:after="0" w:line="240" w:lineRule="auto"/>
    </w:pPr>
  </w:style>
  <w:style w:type="paragraph" w:styleId="743">
    <w:name w:val="Header 5e6c35132276807736354ddc1945f34c"/>
    <w:basedOn w:val="758"/>
    <w:link w:val="744"/>
    <w:uiPriority w:val="99"/>
    <w:unhideWhenUsed/>
    <w:pPr>
      <w:spacing w:after="0" w:line="240" w:lineRule="auto"/>
      <w:tabs>
        <w:tab w:val="center" w:pos="7143" w:leader="none"/>
        <w:tab w:val="right" w:pos="14287" w:leader="none"/>
      </w:tabs>
    </w:pPr>
  </w:style>
  <w:style w:type="character" w:styleId="744">
    <w:name w:val="Header Char 5e6c35132276807736354ddc1945f34c"/>
    <w:link w:val="743"/>
    <w:uiPriority w:val="99"/>
  </w:style>
  <w:style w:type="paragraph" w:styleId="745">
    <w:name w:val="Footer 5e6c35132276807736354ddc1945f34c"/>
    <w:basedOn w:val="758"/>
    <w:link w:val="747"/>
    <w:uiPriority w:val="99"/>
    <w:unhideWhenUsed/>
    <w:pPr>
      <w:spacing w:after="0" w:line="240" w:lineRule="auto"/>
      <w:tabs>
        <w:tab w:val="center" w:pos="7143" w:leader="none"/>
        <w:tab w:val="right" w:pos="14287" w:leader="none"/>
      </w:tabs>
    </w:pPr>
  </w:style>
  <w:style w:type="character" w:styleId="746">
    <w:name w:val="Footer Char 5e6c35132276807736354ddc1945f34c"/>
    <w:link w:val="745"/>
    <w:uiPriority w:val="99"/>
  </w:style>
  <w:style w:type="character" w:styleId="747">
    <w:name w:val="Caption Char 5e6c35132276807736354ddc1945f34c"/>
    <w:link w:val="745"/>
    <w:uiPriority w:val="99"/>
  </w:style>
  <w:style w:type="character" w:styleId="748">
    <w:name w:val="Hyperlink 5e6c35132276807736354ddc1945f34c"/>
    <w:uiPriority w:val="99"/>
    <w:unhideWhenUsed/>
    <w:rPr>
      <w:color w:val="0000FF" w:themeColor="hyperlink"/>
      <w:u w:val="single"/>
    </w:rPr>
  </w:style>
  <w:style w:type="paragraph" w:styleId="749">
    <w:name w:val="toc 1 5e6c35132276807736354ddc1945f34c"/>
    <w:basedOn w:val="758"/>
    <w:uiPriority w:val="39"/>
    <w:unhideWhenUsed/>
    <w:pPr>
      <w:ind w:left="0" w:right="0" w:firstLine="0"/>
      <w:spacing w:after="57"/>
    </w:pPr>
  </w:style>
  <w:style w:type="paragraph" w:styleId="750">
    <w:name w:val="toc 2 5e6c35132276807736354ddc1945f34c"/>
    <w:basedOn w:val="758"/>
    <w:uiPriority w:val="39"/>
    <w:unhideWhenUsed/>
    <w:pPr>
      <w:ind w:left="283" w:right="0" w:firstLine="0"/>
      <w:spacing w:after="57"/>
    </w:pPr>
  </w:style>
  <w:style w:type="paragraph" w:styleId="751">
    <w:name w:val="toc 3 5e6c35132276807736354ddc1945f34c"/>
    <w:basedOn w:val="758"/>
    <w:uiPriority w:val="39"/>
    <w:unhideWhenUsed/>
    <w:pPr>
      <w:ind w:left="567" w:right="0" w:firstLine="0"/>
      <w:spacing w:after="57"/>
    </w:pPr>
  </w:style>
  <w:style w:type="paragraph" w:styleId="752">
    <w:name w:val="toc 4 5e6c35132276807736354ddc1945f34c"/>
    <w:basedOn w:val="758"/>
    <w:uiPriority w:val="39"/>
    <w:unhideWhenUsed/>
    <w:pPr>
      <w:ind w:left="850" w:right="0" w:firstLine="0"/>
      <w:spacing w:after="57"/>
    </w:pPr>
  </w:style>
  <w:style w:type="paragraph" w:styleId="753">
    <w:name w:val="toc 5 5e6c35132276807736354ddc1945f34c"/>
    <w:basedOn w:val="758"/>
    <w:uiPriority w:val="39"/>
    <w:unhideWhenUsed/>
    <w:pPr>
      <w:ind w:left="1134" w:right="0" w:firstLine="0"/>
      <w:spacing w:after="57"/>
    </w:pPr>
  </w:style>
  <w:style w:type="paragraph" w:styleId="754">
    <w:name w:val="toc 6 5e6c35132276807736354ddc1945f34c"/>
    <w:basedOn w:val="758"/>
    <w:uiPriority w:val="39"/>
    <w:unhideWhenUsed/>
    <w:pPr>
      <w:ind w:left="1417" w:right="0" w:firstLine="0"/>
      <w:spacing w:after="57"/>
    </w:pPr>
  </w:style>
  <w:style w:type="paragraph" w:styleId="755">
    <w:name w:val="toc 7 5e6c35132276807736354ddc1945f34c"/>
    <w:basedOn w:val="758"/>
    <w:uiPriority w:val="39"/>
    <w:unhideWhenUsed/>
    <w:pPr>
      <w:ind w:left="1701" w:right="0" w:firstLine="0"/>
      <w:spacing w:after="57"/>
    </w:pPr>
  </w:style>
  <w:style w:type="paragraph" w:styleId="756">
    <w:name w:val="toc 8 5e6c35132276807736354ddc1945f34c"/>
    <w:basedOn w:val="758"/>
    <w:uiPriority w:val="39"/>
    <w:unhideWhenUsed/>
    <w:pPr>
      <w:ind w:left="1984" w:right="0" w:firstLine="0"/>
      <w:spacing w:after="57"/>
    </w:pPr>
  </w:style>
  <w:style w:type="paragraph" w:styleId="757">
    <w:name w:val="toc 9 5e6c35132276807736354ddc1945f34c"/>
    <w:basedOn w:val="758"/>
    <w:uiPriority w:val="39"/>
    <w:unhideWhenUsed/>
    <w:pPr>
      <w:ind w:left="2268" w:right="0" w:firstLine="0"/>
      <w:spacing w:after="57"/>
    </w:pPr>
  </w:style>
  <w:style w:type="paragraph" w:styleId="758" w:default="1">
    <w:name w:val="Normal 5e6c35132276807736354ddc1945f34c"/>
    <w:qFormat/>
    <w:pPr>
      <w:widowControl w:val="off"/>
    </w:pPr>
    <w:rPr>
      <w:rFonts w:ascii="Liberation Serif" w:hAnsi="Liberation Serif" w:cs="Mangal" w:eastAsia="SimSun"/>
      <w:color w:val="auto"/>
      <w:sz w:val="24"/>
      <w:szCs w:val="24"/>
      <w:lang w:val="it-IT" w:bidi="hi-IN" w:eastAsia="zh-CN"/>
    </w:rPr>
  </w:style>
  <w:style w:type="character" w:styleId="759" w:default="1">
    <w:name w:val="Default Paragraph Font 5e6c35132276807736354ddc1945f34c"/>
    <w:uiPriority w:val="1"/>
    <w:semiHidden/>
    <w:unhideWhenUsed/>
  </w:style>
  <w:style w:type="numbering" w:styleId="760" w:default="1">
    <w:name w:val="No List 5e6c35132276807736354ddc1945f34c"/>
    <w:uiPriority w:val="99"/>
    <w:semiHidden/>
    <w:unhideWhenUsed/>
  </w:style>
  <w:style w:type="table" w:styleId="761" w:default="1">
    <w:name w:val="Normal Table 5e6c35132276807736354ddc1945f34c"/>
    <w:uiPriority w:val="99"/>
    <w:semiHidden/>
    <w:unhideWhenUsed/>
    <w:tblPr/>
  </w:style>
  <w:style w:type="character" w:styleId="762">
    <w:name w:val="Hyperlink ff16a3e77c41fcb2f0a3d689c10e561f"/>
    <w:uiPriority w:val="99"/>
    <w:unhideWhenUsed/>
    <w:rPr>
      <w:color w:val="0000FF" w:themeColor="hyperlink"/>
      <w:u w:val="single"/>
    </w:rPr>
  </w:style>
  <w:style w:type="paragraph" w:styleId="763">
    <w:name w:val="toc 1 ff16a3e77c41fcb2f0a3d689c10e561f"/>
    <w:basedOn w:val="772"/>
    <w:uiPriority w:val="39"/>
    <w:unhideWhenUsed/>
    <w:pPr>
      <w:ind w:left="0" w:right="0" w:firstLine="0"/>
      <w:spacing w:after="57"/>
    </w:pPr>
  </w:style>
  <w:style w:type="paragraph" w:styleId="764">
    <w:name w:val="toc 2 ff16a3e77c41fcb2f0a3d689c10e561f"/>
    <w:basedOn w:val="772"/>
    <w:uiPriority w:val="39"/>
    <w:unhideWhenUsed/>
    <w:pPr>
      <w:ind w:left="283" w:right="0" w:firstLine="0"/>
      <w:spacing w:after="57"/>
    </w:pPr>
  </w:style>
  <w:style w:type="paragraph" w:styleId="765">
    <w:name w:val="toc 3 ff16a3e77c41fcb2f0a3d689c10e561f"/>
    <w:basedOn w:val="772"/>
    <w:uiPriority w:val="39"/>
    <w:unhideWhenUsed/>
    <w:pPr>
      <w:ind w:left="567" w:right="0" w:firstLine="0"/>
      <w:spacing w:after="57"/>
    </w:pPr>
  </w:style>
  <w:style w:type="paragraph" w:styleId="766">
    <w:name w:val="toc 4 ff16a3e77c41fcb2f0a3d689c10e561f"/>
    <w:basedOn w:val="772"/>
    <w:uiPriority w:val="39"/>
    <w:unhideWhenUsed/>
    <w:pPr>
      <w:ind w:left="850" w:right="0" w:firstLine="0"/>
      <w:spacing w:after="57"/>
    </w:pPr>
  </w:style>
  <w:style w:type="paragraph" w:styleId="767">
    <w:name w:val="toc 5 ff16a3e77c41fcb2f0a3d689c10e561f"/>
    <w:basedOn w:val="772"/>
    <w:uiPriority w:val="39"/>
    <w:unhideWhenUsed/>
    <w:pPr>
      <w:ind w:left="1134" w:right="0" w:firstLine="0"/>
      <w:spacing w:after="57"/>
    </w:pPr>
  </w:style>
  <w:style w:type="paragraph" w:styleId="768">
    <w:name w:val="toc 6 ff16a3e77c41fcb2f0a3d689c10e561f"/>
    <w:basedOn w:val="772"/>
    <w:uiPriority w:val="39"/>
    <w:unhideWhenUsed/>
    <w:pPr>
      <w:ind w:left="1417" w:right="0" w:firstLine="0"/>
      <w:spacing w:after="57"/>
    </w:pPr>
  </w:style>
  <w:style w:type="paragraph" w:styleId="769">
    <w:name w:val="toc 7 ff16a3e77c41fcb2f0a3d689c10e561f"/>
    <w:basedOn w:val="772"/>
    <w:uiPriority w:val="39"/>
    <w:unhideWhenUsed/>
    <w:pPr>
      <w:ind w:left="1701" w:right="0" w:firstLine="0"/>
      <w:spacing w:after="57"/>
    </w:pPr>
  </w:style>
  <w:style w:type="paragraph" w:styleId="770">
    <w:name w:val="toc 8 ff16a3e77c41fcb2f0a3d689c10e561f"/>
    <w:basedOn w:val="772"/>
    <w:uiPriority w:val="39"/>
    <w:unhideWhenUsed/>
    <w:pPr>
      <w:ind w:left="1984" w:right="0" w:firstLine="0"/>
      <w:spacing w:after="57"/>
    </w:pPr>
  </w:style>
  <w:style w:type="paragraph" w:styleId="771">
    <w:name w:val="toc 9 ff16a3e77c41fcb2f0a3d689c10e561f"/>
    <w:basedOn w:val="772"/>
    <w:uiPriority w:val="39"/>
    <w:unhideWhenUsed/>
    <w:pPr>
      <w:ind w:left="2268" w:right="0" w:firstLine="0"/>
      <w:spacing w:after="57"/>
    </w:pPr>
  </w:style>
  <w:style w:type="paragraph" w:styleId="772">
    <w:name w:val="Normal ff16a3e77c41fcb2f0a3d689c10e561f"/>
    <w:pPr>
      <w:widowControl w:val="off"/>
    </w:pPr>
    <w:rPr>
      <w:rFonts w:ascii="Liberation Serif" w:hAnsi="Liberation Serif" w:cs="Mangal" w:eastAsia="SimSun"/>
      <w:color w:val="auto"/>
      <w:sz w:val="24"/>
      <w:szCs w:val="24"/>
      <w:lang w:val="it-IT" w:bidi="hi-IN" w:eastAsia="zh-CN"/>
    </w:rPr>
  </w:style>
  <w:style w:type="character" w:styleId="773">
    <w:name w:val="Default Paragraph Font ff16a3e77c41fcb2f0a3d689c10e561f"/>
    <w:uiPriority w:val="1"/>
    <w:semiHidden/>
    <w:unhideWhenUsed/>
  </w:style>
  <w:style w:type="numbering" w:styleId="774">
    <w:name w:val="No List ff16a3e77c41fcb2f0a3d689c10e561f"/>
    <w:uiPriority w:val="99"/>
    <w:semiHidden/>
    <w:unhideWhenUsed/>
  </w:style>
  <w:style w:type="table" w:styleId="775">
    <w:name w:val="Normal Table ff16a3e77c41fcb2f0a3d689c10e561f"/>
    <w:uiPriority w:val="99"/>
    <w:semiHidden/>
    <w:unhideWhenUsed/>
    <w:tblPr/>
  </w:style>
  <w:style w:type="character" w:styleId="776">
    <w:name w:val="Hyperlink 7d0770fd0160b9cff009e3918882c5f3"/>
    <w:uiPriority w:val="99"/>
    <w:unhideWhenUsed/>
    <w:rPr>
      <w:color w:val="0000FF" w:themeColor="hyperlink"/>
      <w:u w:val="single"/>
    </w:rPr>
  </w:style>
  <w:style w:type="paragraph" w:styleId="777">
    <w:name w:val="toc 1 7d0770fd0160b9cff009e3918882c5f3"/>
    <w:basedOn w:val="786"/>
    <w:uiPriority w:val="39"/>
    <w:unhideWhenUsed/>
    <w:pPr>
      <w:ind w:left="0" w:right="0" w:firstLine="0"/>
      <w:spacing w:after="57"/>
    </w:pPr>
  </w:style>
  <w:style w:type="paragraph" w:styleId="778">
    <w:name w:val="toc 2 7d0770fd0160b9cff009e3918882c5f3"/>
    <w:basedOn w:val="786"/>
    <w:uiPriority w:val="39"/>
    <w:unhideWhenUsed/>
    <w:pPr>
      <w:ind w:left="283" w:right="0" w:firstLine="0"/>
      <w:spacing w:after="57"/>
    </w:pPr>
  </w:style>
  <w:style w:type="paragraph" w:styleId="779">
    <w:name w:val="toc 3 7d0770fd0160b9cff009e3918882c5f3"/>
    <w:basedOn w:val="786"/>
    <w:uiPriority w:val="39"/>
    <w:unhideWhenUsed/>
    <w:pPr>
      <w:ind w:left="567" w:right="0" w:firstLine="0"/>
      <w:spacing w:after="57"/>
    </w:pPr>
  </w:style>
  <w:style w:type="paragraph" w:styleId="780">
    <w:name w:val="toc 4 7d0770fd0160b9cff009e3918882c5f3"/>
    <w:basedOn w:val="786"/>
    <w:uiPriority w:val="39"/>
    <w:unhideWhenUsed/>
    <w:pPr>
      <w:ind w:left="850" w:right="0" w:firstLine="0"/>
      <w:spacing w:after="57"/>
    </w:pPr>
  </w:style>
  <w:style w:type="paragraph" w:styleId="781">
    <w:name w:val="toc 5 7d0770fd0160b9cff009e3918882c5f3"/>
    <w:basedOn w:val="786"/>
    <w:uiPriority w:val="39"/>
    <w:unhideWhenUsed/>
    <w:pPr>
      <w:ind w:left="1134" w:right="0" w:firstLine="0"/>
      <w:spacing w:after="57"/>
    </w:pPr>
  </w:style>
  <w:style w:type="paragraph" w:styleId="782">
    <w:name w:val="toc 6 7d0770fd0160b9cff009e3918882c5f3"/>
    <w:basedOn w:val="786"/>
    <w:uiPriority w:val="39"/>
    <w:unhideWhenUsed/>
    <w:pPr>
      <w:ind w:left="1417" w:right="0" w:firstLine="0"/>
      <w:spacing w:after="57"/>
    </w:pPr>
  </w:style>
  <w:style w:type="paragraph" w:styleId="783">
    <w:name w:val="toc 7 7d0770fd0160b9cff009e3918882c5f3"/>
    <w:basedOn w:val="786"/>
    <w:uiPriority w:val="39"/>
    <w:unhideWhenUsed/>
    <w:pPr>
      <w:ind w:left="1701" w:right="0" w:firstLine="0"/>
      <w:spacing w:after="57"/>
    </w:pPr>
  </w:style>
  <w:style w:type="paragraph" w:styleId="784">
    <w:name w:val="toc 8 7d0770fd0160b9cff009e3918882c5f3"/>
    <w:basedOn w:val="786"/>
    <w:uiPriority w:val="39"/>
    <w:unhideWhenUsed/>
    <w:pPr>
      <w:ind w:left="1984" w:right="0" w:firstLine="0"/>
      <w:spacing w:after="57"/>
    </w:pPr>
  </w:style>
  <w:style w:type="paragraph" w:styleId="785">
    <w:name w:val="toc 9 7d0770fd0160b9cff009e3918882c5f3"/>
    <w:basedOn w:val="786"/>
    <w:uiPriority w:val="39"/>
    <w:unhideWhenUsed/>
    <w:pPr>
      <w:ind w:left="2268" w:right="0" w:firstLine="0"/>
      <w:spacing w:after="57"/>
    </w:pPr>
  </w:style>
  <w:style w:type="paragraph" w:styleId="786">
    <w:name w:val="Normal 7d0770fd0160b9cff009e3918882c5f3"/>
    <w:pPr>
      <w:widowControl w:val="off"/>
    </w:pPr>
    <w:rPr>
      <w:rFonts w:ascii="Liberation Serif" w:hAnsi="Liberation Serif" w:cs="Mangal" w:eastAsia="SimSun"/>
      <w:color w:val="auto"/>
      <w:sz w:val="24"/>
      <w:szCs w:val="24"/>
      <w:lang w:val="it-IT" w:bidi="hi-IN" w:eastAsia="zh-CN"/>
    </w:rPr>
  </w:style>
  <w:style w:type="character" w:styleId="787">
    <w:name w:val="Default Paragraph Font 7d0770fd0160b9cff009e3918882c5f3"/>
    <w:uiPriority w:val="1"/>
    <w:semiHidden/>
    <w:unhideWhenUsed/>
  </w:style>
  <w:style w:type="numbering" w:styleId="788">
    <w:name w:val="No List 7d0770fd0160b9cff009e3918882c5f3"/>
    <w:uiPriority w:val="99"/>
    <w:semiHidden/>
    <w:unhideWhenUsed/>
  </w:style>
  <w:style w:type="table" w:styleId="789">
    <w:name w:val="Normal Table 7d0770fd0160b9cff009e3918882c5f3"/>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ONLYOFFICE/7.1.1.23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it-IT</dc:language>
  <cp:lastModifiedBy>s.burghiani</cp:lastModifiedBy>
  <cp:revision>17</cp:revision>
  <dcterms:created xsi:type="dcterms:W3CDTF">2016-01-21T15:36:37Z</dcterms:created>
  <dcterms:modified xsi:type="dcterms:W3CDTF">2026-06-26T07:32:14Z</dcterms:modified>
</cp:coreProperties>
</file>